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left"/>
        <w:rPr>
          <w:rFonts w:hint="eastAsia" w:ascii="黑体" w:hAnsi="黑体" w:eastAsia="黑体" w:cs="黑体"/>
          <w:kern w:val="0"/>
          <w:sz w:val="32"/>
          <w:szCs w:val="32"/>
          <w:lang w:eastAsia="zh-CN"/>
        </w:rPr>
      </w:pPr>
      <w:bookmarkStart w:id="0" w:name="_GoBack"/>
      <w:bookmarkEnd w:id="0"/>
      <w:r>
        <w:rPr>
          <w:rFonts w:hint="eastAsia" w:ascii="黑体" w:hAnsi="黑体" w:eastAsia="黑体" w:cs="黑体"/>
          <w:kern w:val="0"/>
          <w:sz w:val="32"/>
          <w:szCs w:val="32"/>
          <w:lang w:eastAsia="zh-CN"/>
        </w:rPr>
        <w:t>附件</w:t>
      </w:r>
    </w:p>
    <w:p>
      <w:pPr>
        <w:pStyle w:val="2"/>
        <w:keepNext w:val="0"/>
        <w:keepLines w:val="0"/>
        <w:pageBreakBefore w:val="0"/>
        <w:widowControl w:val="0"/>
        <w:kinsoku/>
        <w:wordWrap/>
        <w:overflowPunct/>
        <w:topLinePunct w:val="0"/>
        <w:autoSpaceDE/>
        <w:autoSpaceDN/>
        <w:bidi w:val="0"/>
        <w:snapToGrid/>
        <w:spacing w:line="640" w:lineRule="exact"/>
        <w:ind w:left="0" w:leftChars="0"/>
        <w:textAlignment w:val="auto"/>
        <w:rPr>
          <w:rFonts w:hint="eastAsia"/>
          <w:sz w:val="42"/>
          <w:szCs w:val="42"/>
          <w:lang w:val="en-US" w:eastAsia="zh-CN"/>
        </w:rPr>
      </w:pPr>
    </w:p>
    <w:p>
      <w:pPr>
        <w:keepNext w:val="0"/>
        <w:keepLines w:val="0"/>
        <w:pageBreakBefore w:val="0"/>
        <w:widowControl w:val="0"/>
        <w:kinsoku/>
        <w:wordWrap/>
        <w:overflowPunct/>
        <w:topLinePunct w:val="0"/>
        <w:autoSpaceDE/>
        <w:autoSpaceDN/>
        <w:bidi w:val="0"/>
        <w:snapToGrid/>
        <w:spacing w:line="640" w:lineRule="exact"/>
        <w:ind w:left="0" w:leftChars="0"/>
        <w:jc w:val="center"/>
        <w:textAlignment w:val="auto"/>
        <w:rPr>
          <w:rFonts w:ascii="方正小标宋简体" w:hAnsi="方正小标宋简体" w:eastAsia="方正小标宋简体" w:cs="方正小标宋简体"/>
          <w:sz w:val="42"/>
          <w:szCs w:val="42"/>
        </w:rPr>
      </w:pPr>
      <w:r>
        <w:rPr>
          <w:rFonts w:hint="eastAsia" w:ascii="方正小标宋简体" w:hAnsi="方正小标宋简体" w:eastAsia="方正小标宋简体" w:cs="方正小标宋简体"/>
          <w:sz w:val="42"/>
          <w:szCs w:val="42"/>
        </w:rPr>
        <w:t>内蒙古自治区城镇污水处理</w:t>
      </w:r>
    </w:p>
    <w:p>
      <w:pPr>
        <w:keepNext w:val="0"/>
        <w:keepLines w:val="0"/>
        <w:pageBreakBefore w:val="0"/>
        <w:widowControl w:val="0"/>
        <w:kinsoku/>
        <w:wordWrap/>
        <w:overflowPunct/>
        <w:topLinePunct w:val="0"/>
        <w:autoSpaceDE/>
        <w:autoSpaceDN/>
        <w:bidi w:val="0"/>
        <w:snapToGrid/>
        <w:spacing w:line="640" w:lineRule="exact"/>
        <w:ind w:left="0" w:leftChars="0"/>
        <w:jc w:val="center"/>
        <w:textAlignment w:val="auto"/>
        <w:rPr>
          <w:rFonts w:ascii="方正小标宋简体" w:hAnsi="方正小标宋简体" w:eastAsia="方正小标宋简体" w:cs="方正小标宋简体"/>
          <w:sz w:val="42"/>
          <w:szCs w:val="42"/>
        </w:rPr>
      </w:pPr>
      <w:r>
        <w:rPr>
          <w:rFonts w:hint="eastAsia" w:ascii="方正小标宋简体" w:hAnsi="方正小标宋简体" w:eastAsia="方正小标宋简体" w:cs="方正小标宋简体"/>
          <w:sz w:val="42"/>
          <w:szCs w:val="42"/>
        </w:rPr>
        <w:t>定价成本监审办法</w:t>
      </w:r>
    </w:p>
    <w:p>
      <w:pPr>
        <w:rPr>
          <w:rFonts w:ascii="楷体" w:hAnsi="楷体" w:eastAsia="楷体"/>
          <w:bCs/>
          <w:sz w:val="36"/>
          <w:szCs w:val="36"/>
        </w:rPr>
      </w:pPr>
    </w:p>
    <w:p>
      <w:pPr>
        <w:jc w:val="center"/>
        <w:rPr>
          <w:rFonts w:ascii="宋体" w:hAnsi="宋体" w:eastAsia="黑体"/>
          <w:sz w:val="32"/>
          <w:szCs w:val="32"/>
        </w:rPr>
      </w:pPr>
      <w:r>
        <w:rPr>
          <w:rFonts w:hint="eastAsia" w:ascii="宋体" w:hAnsi="宋体" w:eastAsia="黑体"/>
          <w:sz w:val="32"/>
          <w:szCs w:val="32"/>
        </w:rPr>
        <w:t>第一章  总  则</w:t>
      </w:r>
    </w:p>
    <w:p>
      <w:pPr>
        <w:rPr>
          <w:rFonts w:ascii="仿宋_GB2312" w:hAnsi="仿宋" w:eastAsia="仿宋_GB2312"/>
          <w:sz w:val="32"/>
          <w:szCs w:val="32"/>
        </w:rPr>
      </w:pPr>
    </w:p>
    <w:p>
      <w:pPr>
        <w:keepNext w:val="0"/>
        <w:keepLines w:val="0"/>
        <w:pageBreakBefore w:val="0"/>
        <w:widowControl w:val="0"/>
        <w:kinsoku/>
        <w:wordWrap/>
        <w:overflowPunct/>
        <w:topLinePunct w:val="0"/>
        <w:autoSpaceDE/>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eastAsia" w:ascii="黑体" w:hAnsi="黑体" w:eastAsia="黑体" w:cs="黑体"/>
          <w:b w:val="0"/>
          <w:bCs/>
          <w:sz w:val="32"/>
          <w:szCs w:val="32"/>
        </w:rPr>
        <w:t>第一条</w:t>
      </w:r>
      <w:r>
        <w:rPr>
          <w:rFonts w:hint="default" w:ascii="Times New Roman" w:hAnsi="Times New Roman" w:eastAsia="方正仿宋_GBK" w:cs="Times New Roman"/>
          <w:b/>
          <w:sz w:val="32"/>
          <w:szCs w:val="32"/>
          <w:lang w:val="en-US" w:eastAsia="zh-CN"/>
        </w:rPr>
        <w:t xml:space="preserve">  </w:t>
      </w:r>
      <w:r>
        <w:rPr>
          <w:rFonts w:hint="default" w:ascii="Times New Roman" w:hAnsi="Times New Roman" w:eastAsia="方正仿宋_GBK" w:cs="Times New Roman"/>
          <w:sz w:val="32"/>
          <w:szCs w:val="32"/>
        </w:rPr>
        <w:t>为提高政府价格决策的科学性，规范城镇污水处理定价成本监审行为，根据《中华人民共和国价格法》《政府制定价格成本监审办法》和《政府制定价格行为规则》等有关规定，</w:t>
      </w:r>
      <w:r>
        <w:rPr>
          <w:rFonts w:hint="default" w:ascii="Times New Roman" w:hAnsi="Times New Roman" w:eastAsia="方正仿宋_GBK" w:cs="Times New Roman"/>
          <w:kern w:val="0"/>
          <w:sz w:val="32"/>
          <w:szCs w:val="32"/>
        </w:rPr>
        <w:t>结合我区实际，</w:t>
      </w:r>
      <w:r>
        <w:rPr>
          <w:rFonts w:hint="default" w:ascii="Times New Roman" w:hAnsi="Times New Roman" w:eastAsia="方正仿宋_GBK" w:cs="Times New Roman"/>
          <w:sz w:val="32"/>
          <w:szCs w:val="32"/>
        </w:rPr>
        <w:t>制定本办法。</w:t>
      </w:r>
    </w:p>
    <w:p>
      <w:pPr>
        <w:keepNext w:val="0"/>
        <w:keepLines w:val="0"/>
        <w:pageBreakBefore w:val="0"/>
        <w:widowControl w:val="0"/>
        <w:kinsoku/>
        <w:wordWrap/>
        <w:overflowPunct/>
        <w:topLinePunct w:val="0"/>
        <w:autoSpaceDE/>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黑体" w:hAnsi="黑体" w:eastAsia="黑体" w:cs="黑体"/>
          <w:b w:val="0"/>
          <w:bCs/>
          <w:sz w:val="32"/>
          <w:szCs w:val="32"/>
        </w:rPr>
        <w:t>第二条</w:t>
      </w:r>
      <w:r>
        <w:rPr>
          <w:rFonts w:hint="default" w:ascii="Times New Roman" w:hAnsi="Times New Roman" w:eastAsia="方正仿宋_GBK" w:cs="Times New Roman"/>
          <w:b/>
          <w:sz w:val="32"/>
          <w:szCs w:val="32"/>
          <w:lang w:val="en-US" w:eastAsia="zh-CN"/>
        </w:rPr>
        <w:t xml:space="preserve"> </w:t>
      </w:r>
      <w:r>
        <w:rPr>
          <w:rFonts w:hint="default" w:ascii="Times New Roman" w:hAnsi="Times New Roman" w:eastAsia="方正仿宋_GBK" w:cs="Times New Roman"/>
          <w:b/>
          <w:sz w:val="32"/>
          <w:szCs w:val="32"/>
        </w:rPr>
        <w:t xml:space="preserve"> </w:t>
      </w:r>
      <w:r>
        <w:rPr>
          <w:rFonts w:hint="default" w:ascii="Times New Roman" w:hAnsi="Times New Roman" w:eastAsia="方正仿宋_GBK" w:cs="Times New Roman"/>
          <w:sz w:val="32"/>
          <w:szCs w:val="32"/>
        </w:rPr>
        <w:t>本办法适用于内蒙古自治区行政区域内对城镇污水处理经营者实施的成本监审行为。</w:t>
      </w:r>
    </w:p>
    <w:p>
      <w:pPr>
        <w:keepNext w:val="0"/>
        <w:keepLines w:val="0"/>
        <w:pageBreakBefore w:val="0"/>
        <w:widowControl w:val="0"/>
        <w:kinsoku/>
        <w:wordWrap/>
        <w:overflowPunct/>
        <w:topLinePunct w:val="0"/>
        <w:autoSpaceDE/>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本办法所称的城镇污水处理经营者，是指内蒙古自治区行政区域内从事城镇污水处理的企业、事业单位（含实行特许经营的污水处理经营企业，不含独立运营的工业污水处理企业）。</w:t>
      </w:r>
    </w:p>
    <w:p>
      <w:pPr>
        <w:keepNext w:val="0"/>
        <w:keepLines w:val="0"/>
        <w:pageBreakBefore w:val="0"/>
        <w:widowControl w:val="0"/>
        <w:kinsoku/>
        <w:wordWrap/>
        <w:overflowPunct/>
        <w:topLinePunct w:val="0"/>
        <w:autoSpaceDE/>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黑体" w:hAnsi="黑体" w:eastAsia="黑体" w:cs="黑体"/>
          <w:b w:val="0"/>
          <w:bCs/>
          <w:sz w:val="32"/>
          <w:szCs w:val="32"/>
        </w:rPr>
        <w:t>第三条</w:t>
      </w:r>
      <w:r>
        <w:rPr>
          <w:rFonts w:hint="default" w:ascii="Times New Roman" w:hAnsi="Times New Roman" w:eastAsia="方正仿宋_GBK" w:cs="Times New Roman"/>
          <w:b/>
          <w:sz w:val="32"/>
          <w:szCs w:val="32"/>
          <w:lang w:val="en-US" w:eastAsia="zh-CN"/>
        </w:rPr>
        <w:t xml:space="preserve">  </w:t>
      </w:r>
      <w:r>
        <w:rPr>
          <w:rFonts w:hint="default" w:ascii="Times New Roman" w:hAnsi="Times New Roman" w:eastAsia="方正仿宋_GBK" w:cs="Times New Roman"/>
          <w:sz w:val="32"/>
          <w:szCs w:val="32"/>
        </w:rPr>
        <w:t xml:space="preserve">本办法所称城镇污水处理定价成本，是指价格主管部门在调查、测算、审核污水处理经营者成本的基础上，核定本辖区内城镇污水处理的社会平均合理费用支出，是政府制定城镇污水处理费的基本依据。   </w:t>
      </w:r>
    </w:p>
    <w:p>
      <w:pPr>
        <w:keepNext w:val="0"/>
        <w:keepLines w:val="0"/>
        <w:pageBreakBefore w:val="0"/>
        <w:widowControl w:val="0"/>
        <w:kinsoku/>
        <w:wordWrap/>
        <w:overflowPunct/>
        <w:topLinePunct w:val="0"/>
        <w:autoSpaceDE/>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黑体" w:hAnsi="黑体" w:eastAsia="黑体" w:cs="黑体"/>
          <w:b w:val="0"/>
          <w:bCs/>
          <w:sz w:val="32"/>
          <w:szCs w:val="32"/>
        </w:rPr>
        <w:t>第四条</w:t>
      </w:r>
      <w:r>
        <w:rPr>
          <w:rFonts w:hint="default" w:ascii="Times New Roman" w:hAnsi="Times New Roman" w:eastAsia="方正仿宋_GBK" w:cs="Times New Roman"/>
          <w:b/>
          <w:sz w:val="32"/>
          <w:szCs w:val="32"/>
          <w:lang w:val="en-US" w:eastAsia="zh-CN"/>
        </w:rPr>
        <w:t xml:space="preserve">  </w:t>
      </w:r>
      <w:r>
        <w:rPr>
          <w:rFonts w:hint="default" w:ascii="Times New Roman" w:hAnsi="Times New Roman" w:eastAsia="方正仿宋_GBK" w:cs="Times New Roman"/>
          <w:sz w:val="32"/>
          <w:szCs w:val="32"/>
        </w:rPr>
        <w:t>城镇污水处理定价成本监审由各级价格主管部门按照定价权限负责组织实施，城镇污水处理行业主管部门及经营者应当配合价格主管部门做好成本监审工作。</w:t>
      </w:r>
    </w:p>
    <w:p>
      <w:pPr>
        <w:keepNext w:val="0"/>
        <w:keepLines w:val="0"/>
        <w:pageBreakBefore w:val="0"/>
        <w:widowControl w:val="0"/>
        <w:kinsoku/>
        <w:wordWrap/>
        <w:overflowPunct/>
        <w:topLinePunct w:val="0"/>
        <w:autoSpaceDE/>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黑体" w:hAnsi="黑体" w:eastAsia="黑体" w:cs="黑体"/>
          <w:b w:val="0"/>
          <w:bCs/>
          <w:sz w:val="32"/>
          <w:szCs w:val="32"/>
        </w:rPr>
        <w:t>第五条</w:t>
      </w:r>
      <w:r>
        <w:rPr>
          <w:rFonts w:hint="default" w:ascii="Times New Roman" w:hAnsi="Times New Roman" w:eastAsia="方正仿宋_GBK" w:cs="Times New Roman"/>
          <w:b/>
          <w:sz w:val="32"/>
          <w:szCs w:val="32"/>
        </w:rPr>
        <w:t xml:space="preserve"> </w:t>
      </w:r>
      <w:r>
        <w:rPr>
          <w:rFonts w:hint="default" w:ascii="Times New Roman" w:hAnsi="Times New Roman" w:eastAsia="方正仿宋_GBK" w:cs="Times New Roman"/>
          <w:b/>
          <w:sz w:val="32"/>
          <w:szCs w:val="32"/>
          <w:lang w:val="en-US" w:eastAsia="zh-CN"/>
        </w:rPr>
        <w:t xml:space="preserve"> </w:t>
      </w:r>
      <w:r>
        <w:rPr>
          <w:rFonts w:hint="default" w:ascii="Times New Roman" w:hAnsi="Times New Roman" w:eastAsia="方正仿宋_GBK" w:cs="Times New Roman"/>
          <w:sz w:val="32"/>
          <w:szCs w:val="32"/>
        </w:rPr>
        <w:t>城镇污水处理定价成本监审应当遵循以下原则：</w:t>
      </w:r>
    </w:p>
    <w:p>
      <w:pPr>
        <w:keepNext w:val="0"/>
        <w:keepLines w:val="0"/>
        <w:pageBreakBefore w:val="0"/>
        <w:widowControl w:val="0"/>
        <w:kinsoku/>
        <w:wordWrap/>
        <w:overflowPunct/>
        <w:topLinePunct w:val="0"/>
        <w:autoSpaceDE/>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（一）合法性原则。计入城镇污水处理定价成本的费用，应当符合《中华人民共和国会计法》等有关法律、法规和国家统一的会计制度以及价格监管制度等规定。</w:t>
      </w:r>
    </w:p>
    <w:p>
      <w:pPr>
        <w:keepNext w:val="0"/>
        <w:keepLines w:val="0"/>
        <w:pageBreakBefore w:val="0"/>
        <w:widowControl w:val="0"/>
        <w:kinsoku/>
        <w:wordWrap/>
        <w:overflowPunct/>
        <w:topLinePunct w:val="0"/>
        <w:autoSpaceDE/>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（二）相关性原则。计入城镇污水处理定价成本的费用，应当与城镇污水处理过程直接相关或间接相关，与生产经营过程无关的支出不得计入定价成本。</w:t>
      </w:r>
    </w:p>
    <w:p>
      <w:pPr>
        <w:keepNext w:val="0"/>
        <w:keepLines w:val="0"/>
        <w:pageBreakBefore w:val="0"/>
        <w:widowControl w:val="0"/>
        <w:kinsoku/>
        <w:wordWrap/>
        <w:overflowPunct/>
        <w:topLinePunct w:val="0"/>
        <w:autoSpaceDE/>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（三）合理性原则。计入城镇污水处理定价成本的各项费用，应当反映城镇污水处理经营活动的正常需要。影响定价成本水平的主要技术、经济指标，应当符合行业标准和社会公允水平。</w:t>
      </w:r>
    </w:p>
    <w:p>
      <w:pPr>
        <w:keepNext w:val="0"/>
        <w:keepLines w:val="0"/>
        <w:pageBreakBefore w:val="0"/>
        <w:widowControl w:val="0"/>
        <w:kinsoku/>
        <w:wordWrap/>
        <w:overflowPunct/>
        <w:topLinePunct w:val="0"/>
        <w:autoSpaceDE/>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黑体" w:hAnsi="黑体" w:eastAsia="黑体" w:cs="黑体"/>
          <w:b w:val="0"/>
          <w:bCs/>
          <w:sz w:val="32"/>
          <w:szCs w:val="32"/>
        </w:rPr>
        <w:t>第六条</w:t>
      </w:r>
      <w:r>
        <w:rPr>
          <w:rFonts w:hint="default" w:ascii="Times New Roman" w:hAnsi="Times New Roman" w:eastAsia="方正仿宋_GBK" w:cs="Times New Roman"/>
          <w:b/>
          <w:sz w:val="32"/>
          <w:szCs w:val="32"/>
        </w:rPr>
        <w:t xml:space="preserve">  </w:t>
      </w:r>
      <w:r>
        <w:rPr>
          <w:rFonts w:hint="default" w:ascii="Times New Roman" w:hAnsi="Times New Roman" w:eastAsia="方正仿宋_GBK" w:cs="Times New Roman"/>
          <w:sz w:val="32"/>
          <w:szCs w:val="32"/>
        </w:rPr>
        <w:t>核定城镇污水处理定价成本，应当以经会计师事务所审计或者政府财政等有关部门审核的年度财务报告、手续齐备的会计凭证、账簿，以及经营者提供的合法、真实、完整、有效的其他成本相关资料为基础。</w:t>
      </w:r>
    </w:p>
    <w:p>
      <w:pPr>
        <w:keepNext w:val="0"/>
        <w:keepLines w:val="0"/>
        <w:pageBreakBefore w:val="0"/>
        <w:widowControl w:val="0"/>
        <w:kinsoku/>
        <w:wordWrap/>
        <w:overflowPunct/>
        <w:topLinePunct w:val="0"/>
        <w:autoSpaceDE/>
        <w:autoSpaceDN w:val="0"/>
        <w:bidi w:val="0"/>
        <w:adjustRightInd/>
        <w:snapToGrid/>
        <w:spacing w:line="580" w:lineRule="exact"/>
        <w:ind w:firstLine="600"/>
        <w:jc w:val="left"/>
        <w:textAlignment w:val="auto"/>
        <w:rPr>
          <w:rFonts w:hint="default" w:ascii="Times New Roman" w:hAnsi="Times New Roman" w:eastAsia="方正仿宋_GBK" w:cs="Times New Roman"/>
          <w:sz w:val="32"/>
          <w:szCs w:val="32"/>
        </w:rPr>
      </w:pPr>
      <w:r>
        <w:rPr>
          <w:rFonts w:hint="default" w:ascii="黑体" w:hAnsi="黑体" w:eastAsia="黑体" w:cs="黑体"/>
          <w:b w:val="0"/>
          <w:bCs/>
          <w:sz w:val="32"/>
          <w:szCs w:val="32"/>
        </w:rPr>
        <w:t>第七条</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核定事业性质的城镇污水处理经营者成本，事业支出明细各项目核定标准与企业性质的经营者一致。</w:t>
      </w:r>
    </w:p>
    <w:p>
      <w:pPr>
        <w:keepNext w:val="0"/>
        <w:keepLines w:val="0"/>
        <w:pageBreakBefore w:val="0"/>
        <w:widowControl w:val="0"/>
        <w:kinsoku/>
        <w:wordWrap/>
        <w:overflowPunct/>
        <w:topLinePunct w:val="0"/>
        <w:autoSpaceDE/>
        <w:autoSpaceDN w:val="0"/>
        <w:bidi w:val="0"/>
        <w:adjustRightInd/>
        <w:snapToGrid/>
        <w:spacing w:line="580" w:lineRule="exact"/>
        <w:ind w:right="-153" w:firstLine="600"/>
        <w:jc w:val="left"/>
        <w:textAlignment w:val="auto"/>
        <w:rPr>
          <w:rFonts w:hint="default" w:ascii="Times New Roman" w:hAnsi="Times New Roman" w:eastAsia="方正仿宋_GBK" w:cs="Times New Roman"/>
          <w:sz w:val="32"/>
          <w:szCs w:val="32"/>
        </w:rPr>
      </w:pPr>
      <w:r>
        <w:rPr>
          <w:rFonts w:hint="default" w:ascii="黑体" w:hAnsi="黑体" w:eastAsia="黑体" w:cs="黑体"/>
          <w:b w:val="0"/>
          <w:bCs/>
          <w:sz w:val="32"/>
          <w:szCs w:val="32"/>
        </w:rPr>
        <w:t>第八条</w:t>
      </w:r>
      <w:r>
        <w:rPr>
          <w:rFonts w:hint="eastAsia" w:ascii="黑体" w:hAnsi="黑体" w:eastAsia="黑体" w:cs="黑体"/>
          <w:b w:val="0"/>
          <w:bCs/>
          <w:sz w:val="32"/>
          <w:szCs w:val="32"/>
          <w:lang w:val="en-US" w:eastAsia="zh-CN"/>
        </w:rPr>
        <w:t xml:space="preserve"> </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在同一行政区域内有两个或两个以上城镇污水处理经营者的，进行成本监审的污水处理规模应达到当地污水处理规模的三分之二。</w:t>
      </w:r>
    </w:p>
    <w:p>
      <w:pPr>
        <w:pStyle w:val="5"/>
        <w:keepNext w:val="0"/>
        <w:keepLines w:val="0"/>
        <w:pageBreakBefore w:val="0"/>
        <w:widowControl w:val="0"/>
        <w:kinsoku/>
        <w:wordWrap/>
        <w:overflowPunct/>
        <w:topLinePunct w:val="0"/>
        <w:autoSpaceDE/>
        <w:bidi w:val="0"/>
        <w:adjustRightInd/>
        <w:snapToGrid/>
        <w:spacing w:line="580" w:lineRule="exact"/>
        <w:ind w:firstLine="645"/>
        <w:jc w:val="both"/>
        <w:textAlignment w:val="auto"/>
        <w:rPr>
          <w:rFonts w:hint="default" w:ascii="Times New Roman" w:hAnsi="Times New Roman" w:eastAsia="方正仿宋_GBK" w:cs="Times New Roman"/>
          <w:bCs/>
          <w:szCs w:val="32"/>
        </w:rPr>
      </w:pPr>
      <w:r>
        <w:rPr>
          <w:rFonts w:hint="default" w:ascii="黑体" w:hAnsi="黑体" w:eastAsia="黑体" w:cs="黑体"/>
          <w:b w:val="0"/>
          <w:bCs/>
          <w:kern w:val="2"/>
          <w:sz w:val="32"/>
          <w:szCs w:val="32"/>
          <w:lang w:val="en-US" w:eastAsia="zh-CN" w:bidi="ar-SA"/>
        </w:rPr>
        <w:t>第九条</w:t>
      </w:r>
      <w:r>
        <w:rPr>
          <w:rFonts w:hint="default" w:ascii="Times New Roman" w:hAnsi="Times New Roman" w:eastAsia="方正仿宋_GBK" w:cs="Times New Roman"/>
          <w:b/>
          <w:szCs w:val="32"/>
        </w:rPr>
        <w:t xml:space="preserve"> </w:t>
      </w:r>
      <w:r>
        <w:rPr>
          <w:rFonts w:hint="default" w:ascii="Times New Roman" w:hAnsi="Times New Roman" w:eastAsia="方正仿宋_GBK" w:cs="Times New Roman"/>
          <w:bCs/>
          <w:szCs w:val="32"/>
        </w:rPr>
        <w:t xml:space="preserve"> </w:t>
      </w:r>
      <w:r>
        <w:rPr>
          <w:rFonts w:hint="default" w:ascii="Times New Roman" w:hAnsi="Times New Roman" w:eastAsia="方正仿宋_GBK" w:cs="Times New Roman"/>
          <w:sz w:val="32"/>
          <w:szCs w:val="32"/>
        </w:rPr>
        <w:t>城镇污水处理定价成本</w:t>
      </w:r>
      <w:r>
        <w:rPr>
          <w:rFonts w:hint="default" w:ascii="Times New Roman" w:hAnsi="Times New Roman" w:eastAsia="方正仿宋_GBK" w:cs="Times New Roman"/>
          <w:sz w:val="32"/>
          <w:szCs w:val="32"/>
          <w:lang w:eastAsia="zh-CN"/>
        </w:rPr>
        <w:t>监审原则上每</w:t>
      </w:r>
      <w:r>
        <w:rPr>
          <w:rFonts w:hint="default" w:ascii="Times New Roman" w:hAnsi="Times New Roman" w:eastAsia="方正仿宋_GBK" w:cs="Times New Roman"/>
          <w:sz w:val="32"/>
          <w:szCs w:val="32"/>
          <w:lang w:val="en-US" w:eastAsia="zh-CN"/>
        </w:rPr>
        <w:t>3年为一个监审周期。</w:t>
      </w:r>
      <w:r>
        <w:rPr>
          <w:rFonts w:hint="default" w:ascii="Times New Roman" w:hAnsi="Times New Roman" w:eastAsia="方正仿宋_GBK" w:cs="Times New Roman"/>
          <w:bCs/>
          <w:szCs w:val="32"/>
        </w:rPr>
        <w:t>未正式营业或者营业不满一个会计年度的污水处理企业原则上不进行成本监审。</w:t>
      </w:r>
    </w:p>
    <w:p>
      <w:pPr>
        <w:keepNext w:val="0"/>
        <w:keepLines w:val="0"/>
        <w:pageBreakBefore w:val="0"/>
        <w:widowControl w:val="0"/>
        <w:kinsoku/>
        <w:wordWrap/>
        <w:overflowPunct/>
        <w:topLinePunct w:val="0"/>
        <w:autoSpaceDE/>
        <w:autoSpaceDN w:val="0"/>
        <w:bidi w:val="0"/>
        <w:adjustRightInd/>
        <w:snapToGrid/>
        <w:spacing w:line="580" w:lineRule="exact"/>
        <w:ind w:firstLine="600"/>
        <w:jc w:val="left"/>
        <w:textAlignment w:val="auto"/>
        <w:rPr>
          <w:rFonts w:hint="default" w:ascii="Times New Roman" w:hAnsi="Times New Roman" w:eastAsia="方正仿宋_GBK" w:cs="Times New Roman"/>
          <w:sz w:val="32"/>
          <w:szCs w:val="32"/>
        </w:rPr>
      </w:pPr>
    </w:p>
    <w:p>
      <w:pPr>
        <w:jc w:val="center"/>
        <w:rPr>
          <w:rFonts w:hint="default" w:ascii="宋体" w:hAnsi="宋体" w:eastAsia="黑体"/>
          <w:sz w:val="32"/>
          <w:szCs w:val="32"/>
        </w:rPr>
      </w:pPr>
      <w:r>
        <w:rPr>
          <w:rFonts w:hint="default" w:ascii="宋体" w:hAnsi="宋体" w:eastAsia="黑体"/>
          <w:sz w:val="32"/>
          <w:szCs w:val="32"/>
        </w:rPr>
        <w:t>第二章  定价成本项目构成</w:t>
      </w:r>
    </w:p>
    <w:p>
      <w:pPr>
        <w:keepNext w:val="0"/>
        <w:keepLines w:val="0"/>
        <w:pageBreakBefore w:val="0"/>
        <w:widowControl w:val="0"/>
        <w:kinsoku/>
        <w:wordWrap/>
        <w:overflowPunct/>
        <w:topLinePunct w:val="0"/>
        <w:autoSpaceDE/>
        <w:bidi w:val="0"/>
        <w:adjustRightInd/>
        <w:snapToGrid/>
        <w:spacing w:line="580" w:lineRule="exact"/>
        <w:ind w:firstLine="640" w:firstLineChars="200"/>
        <w:jc w:val="center"/>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黑体" w:hAnsi="黑体" w:eastAsia="黑体" w:cs="黑体"/>
          <w:b w:val="0"/>
          <w:bCs/>
          <w:sz w:val="32"/>
          <w:szCs w:val="32"/>
        </w:rPr>
        <w:t>第十条</w:t>
      </w:r>
      <w:r>
        <w:rPr>
          <w:rFonts w:hint="default" w:ascii="Times New Roman" w:hAnsi="Times New Roman" w:eastAsia="方正仿宋_GBK" w:cs="Times New Roman"/>
          <w:sz w:val="32"/>
          <w:szCs w:val="32"/>
        </w:rPr>
        <w:t xml:space="preserve">  城镇污水处理定价成本由污水处理生产成本、污泥处理处置成本、期间费用、税金构成。污水收集和输送管网建设运营业务成本在污水处理定价成本外单列。</w:t>
      </w:r>
    </w:p>
    <w:p>
      <w:pPr>
        <w:keepNext w:val="0"/>
        <w:keepLines w:val="0"/>
        <w:pageBreakBefore w:val="0"/>
        <w:widowControl w:val="0"/>
        <w:kinsoku/>
        <w:wordWrap/>
        <w:overflowPunct/>
        <w:topLinePunct w:val="0"/>
        <w:autoSpaceDE/>
        <w:bidi w:val="0"/>
        <w:adjustRightInd/>
        <w:snapToGrid/>
        <w:spacing w:line="580" w:lineRule="exact"/>
        <w:ind w:firstLine="640" w:firstLineChars="200"/>
        <w:jc w:val="left"/>
        <w:textAlignment w:val="auto"/>
        <w:rPr>
          <w:rFonts w:hint="default" w:ascii="Times New Roman" w:hAnsi="Times New Roman" w:eastAsia="方正仿宋_GBK" w:cs="Times New Roman"/>
          <w:sz w:val="32"/>
          <w:szCs w:val="32"/>
        </w:rPr>
      </w:pPr>
      <w:r>
        <w:rPr>
          <w:rFonts w:hint="default" w:ascii="黑体" w:hAnsi="黑体" w:eastAsia="黑体" w:cs="黑体"/>
          <w:b w:val="0"/>
          <w:bCs/>
          <w:sz w:val="32"/>
          <w:szCs w:val="32"/>
        </w:rPr>
        <w:t>第十一条</w:t>
      </w:r>
      <w:r>
        <w:rPr>
          <w:rFonts w:hint="default" w:ascii="Times New Roman" w:hAnsi="Times New Roman" w:eastAsia="方正仿宋_GBK" w:cs="Times New Roman"/>
          <w:b/>
          <w:sz w:val="32"/>
          <w:szCs w:val="32"/>
        </w:rPr>
        <w:t xml:space="preserve">  </w:t>
      </w:r>
      <w:r>
        <w:rPr>
          <w:rFonts w:hint="default" w:ascii="Times New Roman" w:hAnsi="Times New Roman" w:eastAsia="方正仿宋_GBK" w:cs="Times New Roman"/>
          <w:sz w:val="32"/>
          <w:szCs w:val="32"/>
        </w:rPr>
        <w:t>污水处理生产成本是指污水处理过程中发生的各项支出，包括人工费、</w:t>
      </w:r>
      <w:r>
        <w:rPr>
          <w:rFonts w:hint="default" w:ascii="Times New Roman" w:hAnsi="Times New Roman" w:eastAsia="方正仿宋_GBK" w:cs="Times New Roman"/>
          <w:sz w:val="32"/>
          <w:szCs w:val="32"/>
          <w:lang w:eastAsia="zh-CN"/>
        </w:rPr>
        <w:t>材料</w:t>
      </w:r>
      <w:r>
        <w:rPr>
          <w:rFonts w:hint="default" w:ascii="Times New Roman" w:hAnsi="Times New Roman" w:eastAsia="方正仿宋_GBK" w:cs="Times New Roman"/>
          <w:sz w:val="32"/>
          <w:szCs w:val="32"/>
        </w:rPr>
        <w:t>费、</w:t>
      </w:r>
      <w:r>
        <w:rPr>
          <w:rFonts w:hint="default" w:ascii="Times New Roman" w:hAnsi="Times New Roman" w:eastAsia="方正仿宋_GBK" w:cs="Times New Roman"/>
          <w:sz w:val="32"/>
          <w:szCs w:val="32"/>
          <w:lang w:eastAsia="zh-CN"/>
        </w:rPr>
        <w:t>检测费、</w:t>
      </w:r>
      <w:r>
        <w:rPr>
          <w:rFonts w:hint="default" w:ascii="Times New Roman" w:hAnsi="Times New Roman" w:eastAsia="方正仿宋_GBK" w:cs="Times New Roman"/>
          <w:sz w:val="32"/>
          <w:szCs w:val="32"/>
        </w:rPr>
        <w:t>动力费、水费、固定资产折旧、修理费、低值易耗品摊销及其他费用等。</w:t>
      </w:r>
    </w:p>
    <w:p>
      <w:pPr>
        <w:keepNext w:val="0"/>
        <w:keepLines w:val="0"/>
        <w:pageBreakBefore w:val="0"/>
        <w:widowControl w:val="0"/>
        <w:kinsoku/>
        <w:wordWrap/>
        <w:overflowPunct/>
        <w:topLinePunct w:val="0"/>
        <w:autoSpaceDE/>
        <w:bidi w:val="0"/>
        <w:adjustRightInd/>
        <w:snapToGrid/>
        <w:spacing w:line="58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污泥处理处置成本是指对污泥进行浓缩、消化、脱水、无害化处理及填埋、焚烧、运输等过程中实际发生的费用，包括人工费、药剂费、水电费、固定资产折旧、修理费、监测检验费、机物料消耗、低值易耗品摊销、污泥处理处置费、无害化处置费和外运费等。</w:t>
      </w:r>
    </w:p>
    <w:p>
      <w:pPr>
        <w:keepNext w:val="0"/>
        <w:keepLines w:val="0"/>
        <w:pageBreakBefore w:val="0"/>
        <w:widowControl w:val="0"/>
        <w:kinsoku/>
        <w:wordWrap/>
        <w:overflowPunct/>
        <w:topLinePunct w:val="0"/>
        <w:autoSpaceDE/>
        <w:bidi w:val="0"/>
        <w:adjustRightInd/>
        <w:snapToGrid/>
        <w:spacing w:line="58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污水收集和输送管网建设运营业务成本是指污水收集输送过程中发生的各项支出，包括人工费、固定资产折旧、修理费、监测检验费、机物料消耗、低值易耗品摊销、动力费、租赁费及其他费用等。</w:t>
      </w:r>
    </w:p>
    <w:p>
      <w:pPr>
        <w:keepNext w:val="0"/>
        <w:keepLines w:val="0"/>
        <w:pageBreakBefore w:val="0"/>
        <w:widowControl w:val="0"/>
        <w:kinsoku/>
        <w:wordWrap/>
        <w:overflowPunct/>
        <w:topLinePunct w:val="0"/>
        <w:autoSpaceDE/>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黑体" w:hAnsi="黑体" w:eastAsia="黑体" w:cs="黑体"/>
          <w:b w:val="0"/>
          <w:bCs/>
          <w:sz w:val="32"/>
          <w:szCs w:val="32"/>
        </w:rPr>
        <w:t>第十二条</w:t>
      </w:r>
      <w:r>
        <w:rPr>
          <w:rFonts w:hint="default" w:ascii="Times New Roman" w:hAnsi="Times New Roman" w:eastAsia="方正仿宋_GBK" w:cs="Times New Roman"/>
          <w:b/>
          <w:sz w:val="32"/>
          <w:szCs w:val="32"/>
          <w:lang w:val="en-US" w:eastAsia="zh-CN"/>
        </w:rPr>
        <w:t xml:space="preserve">  </w:t>
      </w:r>
      <w:r>
        <w:rPr>
          <w:rFonts w:hint="default" w:ascii="Times New Roman" w:hAnsi="Times New Roman" w:eastAsia="方正仿宋_GBK" w:cs="Times New Roman"/>
          <w:sz w:val="32"/>
          <w:szCs w:val="32"/>
        </w:rPr>
        <w:t>期间费用是指城镇污水处理经营者为组织和管理污水处理工作所发生的费用，包括管理费用、财务费用和销售费用。</w:t>
      </w:r>
    </w:p>
    <w:p>
      <w:pPr>
        <w:keepNext w:val="0"/>
        <w:keepLines w:val="0"/>
        <w:pageBreakBefore w:val="0"/>
        <w:widowControl w:val="0"/>
        <w:kinsoku/>
        <w:wordWrap/>
        <w:overflowPunct/>
        <w:topLinePunct w:val="0"/>
        <w:autoSpaceDE/>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管理费用是指污水处理经营者为管理和组织污水处理活动所发生的各项费用。包括管理部门人工费、固定资产折旧费、修理费、业务招待费、办公费、水电费、取暖费、租赁费、会议费、差旅费、安全生产费、</w:t>
      </w:r>
      <w:r>
        <w:rPr>
          <w:rFonts w:hint="default" w:ascii="Times New Roman" w:hAnsi="Times New Roman" w:eastAsia="方正仿宋_GBK" w:cs="Times New Roman"/>
          <w:sz w:val="32"/>
          <w:szCs w:val="32"/>
          <w:lang w:eastAsia="zh-CN"/>
        </w:rPr>
        <w:t>绿化费、</w:t>
      </w:r>
      <w:r>
        <w:rPr>
          <w:rFonts w:hint="default" w:ascii="Times New Roman" w:hAnsi="Times New Roman" w:eastAsia="方正仿宋_GBK" w:cs="Times New Roman"/>
          <w:sz w:val="32"/>
          <w:szCs w:val="32"/>
        </w:rPr>
        <w:t>无形资产摊销、长期待摊费用摊销、低值易耗品摊销、坏帐损失及其他管理费用。</w:t>
      </w:r>
    </w:p>
    <w:p>
      <w:pPr>
        <w:keepNext w:val="0"/>
        <w:keepLines w:val="0"/>
        <w:pageBreakBefore w:val="0"/>
        <w:widowControl w:val="0"/>
        <w:kinsoku/>
        <w:wordWrap/>
        <w:overflowPunct/>
        <w:topLinePunct w:val="0"/>
        <w:autoSpaceDE/>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财务费用是指城镇污水处理经营者为污水处理</w:t>
      </w:r>
      <w:r>
        <w:rPr>
          <w:rFonts w:hint="default" w:ascii="Times New Roman" w:hAnsi="Times New Roman" w:eastAsia="方正仿宋_GBK" w:cs="Times New Roman"/>
          <w:sz w:val="32"/>
          <w:szCs w:val="32"/>
          <w:lang w:eastAsia="zh-CN"/>
        </w:rPr>
        <w:t>正常运行</w:t>
      </w:r>
      <w:r>
        <w:rPr>
          <w:rFonts w:hint="default" w:ascii="Times New Roman" w:hAnsi="Times New Roman" w:eastAsia="方正仿宋_GBK" w:cs="Times New Roman"/>
          <w:sz w:val="32"/>
          <w:szCs w:val="32"/>
        </w:rPr>
        <w:t>筹集</w:t>
      </w:r>
      <w:r>
        <w:rPr>
          <w:rFonts w:hint="default" w:ascii="Times New Roman" w:hAnsi="Times New Roman" w:eastAsia="方正仿宋_GBK" w:cs="Times New Roman"/>
          <w:sz w:val="32"/>
          <w:szCs w:val="32"/>
          <w:lang w:eastAsia="zh-CN"/>
        </w:rPr>
        <w:t>资金</w:t>
      </w:r>
      <w:r>
        <w:rPr>
          <w:rFonts w:hint="default" w:ascii="Times New Roman" w:hAnsi="Times New Roman" w:eastAsia="方正仿宋_GBK" w:cs="Times New Roman"/>
          <w:sz w:val="32"/>
          <w:szCs w:val="32"/>
        </w:rPr>
        <w:t>而发生的费用。包括在生产经营期发生的利息净支出、汇兑净损失、金融机构手续费等。</w:t>
      </w:r>
    </w:p>
    <w:p>
      <w:pPr>
        <w:keepNext w:val="0"/>
        <w:keepLines w:val="0"/>
        <w:pageBreakBefore w:val="0"/>
        <w:widowControl w:val="0"/>
        <w:kinsoku/>
        <w:wordWrap/>
        <w:overflowPunct/>
        <w:topLinePunct w:val="0"/>
        <w:autoSpaceDE/>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销售费用原则上只包括污水处理费代征手续费。</w:t>
      </w:r>
    </w:p>
    <w:p>
      <w:pPr>
        <w:keepNext w:val="0"/>
        <w:keepLines w:val="0"/>
        <w:pageBreakBefore w:val="0"/>
        <w:widowControl w:val="0"/>
        <w:kinsoku/>
        <w:wordWrap/>
        <w:overflowPunct/>
        <w:topLinePunct w:val="0"/>
        <w:autoSpaceDE/>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黑体" w:hAnsi="黑体" w:eastAsia="黑体" w:cs="黑体"/>
          <w:b w:val="0"/>
          <w:bCs/>
          <w:sz w:val="32"/>
          <w:szCs w:val="32"/>
        </w:rPr>
        <w:t>第十三条</w:t>
      </w:r>
      <w:r>
        <w:rPr>
          <w:rFonts w:hint="default" w:ascii="黑体" w:hAnsi="黑体" w:eastAsia="黑体" w:cs="黑体"/>
          <w:b w:val="0"/>
          <w:bCs/>
          <w:sz w:val="32"/>
          <w:szCs w:val="32"/>
          <w:lang w:val="en-US" w:eastAsia="zh-CN"/>
        </w:rPr>
        <w:t xml:space="preserve"> </w:t>
      </w:r>
      <w:r>
        <w:rPr>
          <w:rFonts w:hint="default" w:ascii="Times New Roman" w:hAnsi="Times New Roman" w:eastAsia="方正仿宋_GBK" w:cs="Times New Roman"/>
          <w:b/>
          <w:bCs/>
          <w:sz w:val="32"/>
          <w:szCs w:val="32"/>
          <w:lang w:val="en-US" w:eastAsia="zh-CN"/>
        </w:rPr>
        <w:t xml:space="preserve"> </w:t>
      </w:r>
      <w:r>
        <w:rPr>
          <w:rFonts w:hint="default" w:ascii="Times New Roman" w:hAnsi="Times New Roman" w:eastAsia="方正仿宋_GBK" w:cs="Times New Roman"/>
          <w:sz w:val="32"/>
          <w:szCs w:val="32"/>
        </w:rPr>
        <w:t>税金是城镇污水处理经营者应负担的相关税费。纳入定价成本的税金包括房产税、土地使用税、车船税、印花税等。</w:t>
      </w:r>
    </w:p>
    <w:p>
      <w:pPr>
        <w:keepNext w:val="0"/>
        <w:keepLines w:val="0"/>
        <w:pageBreakBefore w:val="0"/>
        <w:widowControl w:val="0"/>
        <w:kinsoku/>
        <w:wordWrap/>
        <w:overflowPunct/>
        <w:topLinePunct w:val="0"/>
        <w:autoSpaceDE/>
        <w:bidi w:val="0"/>
        <w:adjustRightInd/>
        <w:snapToGrid/>
        <w:spacing w:line="580" w:lineRule="exact"/>
        <w:ind w:firstLine="2240" w:firstLineChars="700"/>
        <w:textAlignment w:val="auto"/>
        <w:rPr>
          <w:rFonts w:hint="default" w:ascii="Times New Roman" w:hAnsi="Times New Roman" w:eastAsia="方正仿宋_GBK" w:cs="Times New Roman"/>
          <w:sz w:val="32"/>
          <w:szCs w:val="32"/>
        </w:rPr>
      </w:pPr>
    </w:p>
    <w:p>
      <w:pPr>
        <w:jc w:val="center"/>
        <w:rPr>
          <w:rFonts w:hint="default" w:ascii="宋体" w:hAnsi="宋体" w:eastAsia="黑体"/>
          <w:sz w:val="32"/>
          <w:szCs w:val="32"/>
        </w:rPr>
      </w:pPr>
      <w:r>
        <w:rPr>
          <w:rFonts w:hint="default" w:ascii="宋体" w:hAnsi="宋体" w:eastAsia="黑体"/>
          <w:sz w:val="32"/>
          <w:szCs w:val="32"/>
        </w:rPr>
        <w:t>第三章  定价成本核定</w:t>
      </w:r>
    </w:p>
    <w:p>
      <w:pPr>
        <w:keepNext w:val="0"/>
        <w:keepLines w:val="0"/>
        <w:pageBreakBefore w:val="0"/>
        <w:widowControl w:val="0"/>
        <w:kinsoku/>
        <w:wordWrap/>
        <w:overflowPunct/>
        <w:topLinePunct w:val="0"/>
        <w:autoSpaceDE/>
        <w:bidi w:val="0"/>
        <w:adjustRightInd/>
        <w:snapToGrid/>
        <w:spacing w:line="580" w:lineRule="exact"/>
        <w:ind w:left="64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val="0"/>
        <w:bidi w:val="0"/>
        <w:adjustRightInd/>
        <w:snapToGrid/>
        <w:spacing w:line="580" w:lineRule="exact"/>
        <w:ind w:firstLine="540"/>
        <w:jc w:val="left"/>
        <w:textAlignment w:val="auto"/>
        <w:rPr>
          <w:rFonts w:hint="default" w:ascii="Times New Roman" w:hAnsi="Times New Roman" w:eastAsia="方正仿宋_GBK" w:cs="Times New Roman"/>
          <w:sz w:val="32"/>
          <w:szCs w:val="32"/>
          <w:lang w:eastAsia="zh-CN"/>
        </w:rPr>
      </w:pPr>
      <w:r>
        <w:rPr>
          <w:rFonts w:hint="default" w:ascii="黑体" w:hAnsi="黑体" w:eastAsia="黑体" w:cs="黑体"/>
          <w:b w:val="0"/>
          <w:bCs/>
          <w:sz w:val="32"/>
          <w:szCs w:val="32"/>
        </w:rPr>
        <w:t>第十四条</w:t>
      </w:r>
      <w:r>
        <w:rPr>
          <w:rFonts w:hint="default" w:ascii="Times New Roman" w:hAnsi="Times New Roman" w:eastAsia="方正仿宋_GBK" w:cs="Times New Roman"/>
          <w:b/>
          <w:bCs/>
          <w:sz w:val="32"/>
          <w:szCs w:val="32"/>
          <w:lang w:val="en-US" w:eastAsia="zh-CN"/>
        </w:rPr>
        <w:t xml:space="preserve">  </w:t>
      </w:r>
      <w:r>
        <w:rPr>
          <w:rFonts w:hint="default" w:ascii="Times New Roman" w:hAnsi="Times New Roman" w:eastAsia="方正仿宋_GBK" w:cs="Times New Roman"/>
          <w:sz w:val="32"/>
          <w:szCs w:val="32"/>
        </w:rPr>
        <w:t>人工费</w:t>
      </w:r>
      <w:r>
        <w:rPr>
          <w:rFonts w:hint="default" w:ascii="Times New Roman" w:hAnsi="Times New Roman" w:eastAsia="方正仿宋_GBK" w:cs="Times New Roman"/>
          <w:sz w:val="32"/>
          <w:szCs w:val="32"/>
          <w:lang w:eastAsia="zh-CN"/>
        </w:rPr>
        <w:t>包括在岗职工工资、</w:t>
      </w:r>
      <w:r>
        <w:rPr>
          <w:rFonts w:hint="default" w:ascii="Times New Roman" w:hAnsi="Times New Roman" w:eastAsia="方正仿宋_GBK" w:cs="Times New Roman"/>
          <w:sz w:val="32"/>
          <w:szCs w:val="32"/>
        </w:rPr>
        <w:t>职工福利费、社会保险费</w:t>
      </w:r>
      <w:r>
        <w:rPr>
          <w:rFonts w:hint="default" w:ascii="Times New Roman" w:hAnsi="Times New Roman" w:eastAsia="方正仿宋_GBK" w:cs="Times New Roman"/>
          <w:sz w:val="32"/>
          <w:szCs w:val="32"/>
          <w:lang w:eastAsia="zh-CN"/>
        </w:rPr>
        <w:t>和</w:t>
      </w:r>
      <w:r>
        <w:rPr>
          <w:rFonts w:hint="default" w:ascii="Times New Roman" w:hAnsi="Times New Roman" w:eastAsia="方正仿宋_GBK" w:cs="Times New Roman"/>
          <w:sz w:val="32"/>
          <w:szCs w:val="32"/>
        </w:rPr>
        <w:t>劳务派遣、临时用工</w:t>
      </w:r>
      <w:r>
        <w:rPr>
          <w:rFonts w:hint="default" w:ascii="Times New Roman" w:hAnsi="Times New Roman" w:eastAsia="方正仿宋_GBK" w:cs="Times New Roman"/>
          <w:sz w:val="32"/>
          <w:szCs w:val="32"/>
          <w:lang w:eastAsia="zh-CN"/>
        </w:rPr>
        <w:t>等</w:t>
      </w:r>
      <w:r>
        <w:rPr>
          <w:rFonts w:hint="default" w:ascii="Times New Roman" w:hAnsi="Times New Roman" w:eastAsia="方正仿宋_GBK" w:cs="Times New Roman"/>
          <w:sz w:val="32"/>
          <w:szCs w:val="32"/>
        </w:rPr>
        <w:t>支出</w:t>
      </w:r>
      <w:r>
        <w:rPr>
          <w:rFonts w:hint="default"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（一）职工工资总额按照核定的职工人数和平均工资确定。</w:t>
      </w:r>
    </w:p>
    <w:p>
      <w:pPr>
        <w:keepNext w:val="0"/>
        <w:keepLines w:val="0"/>
        <w:pageBreakBefore w:val="0"/>
        <w:widowControl w:val="0"/>
        <w:kinsoku/>
        <w:wordWrap/>
        <w:overflowPunct/>
        <w:topLinePunct w:val="0"/>
        <w:autoSpaceDE/>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1.职工人数。职工人数原则上按照监审期间最后一年</w:t>
      </w:r>
      <w:r>
        <w:rPr>
          <w:rFonts w:hint="default" w:ascii="Times New Roman" w:hAnsi="Times New Roman" w:eastAsia="方正仿宋_GBK" w:cs="Times New Roman"/>
          <w:sz w:val="32"/>
          <w:szCs w:val="32"/>
          <w:lang w:eastAsia="zh-CN"/>
        </w:rPr>
        <w:t>实际</w:t>
      </w:r>
      <w:r>
        <w:rPr>
          <w:rFonts w:hint="default" w:ascii="Times New Roman" w:hAnsi="Times New Roman" w:eastAsia="方正仿宋_GBK" w:cs="Times New Roman"/>
          <w:sz w:val="32"/>
          <w:szCs w:val="32"/>
        </w:rPr>
        <w:t>在岗职工人数核定，政府有关部门或者行业有明确规定的，不得超过其规定人数。实际职工人数超过</w:t>
      </w:r>
      <w:r>
        <w:rPr>
          <w:rFonts w:hint="default" w:ascii="Times New Roman" w:hAnsi="Times New Roman" w:eastAsia="方正仿宋_GBK" w:cs="Times New Roman"/>
          <w:sz w:val="32"/>
          <w:szCs w:val="32"/>
          <w:lang w:eastAsia="zh-CN"/>
        </w:rPr>
        <w:t>规定人数</w:t>
      </w:r>
      <w:r>
        <w:rPr>
          <w:rFonts w:hint="default" w:ascii="Times New Roman" w:hAnsi="Times New Roman" w:eastAsia="方正仿宋_GBK" w:cs="Times New Roman"/>
          <w:sz w:val="32"/>
          <w:szCs w:val="32"/>
        </w:rPr>
        <w:t>上限的，按</w:t>
      </w:r>
      <w:r>
        <w:rPr>
          <w:rFonts w:hint="default" w:ascii="Times New Roman" w:hAnsi="Times New Roman" w:eastAsia="方正仿宋_GBK" w:cs="Times New Roman"/>
          <w:sz w:val="32"/>
          <w:szCs w:val="32"/>
          <w:lang w:eastAsia="zh-CN"/>
        </w:rPr>
        <w:t>规定人数</w:t>
      </w:r>
      <w:r>
        <w:rPr>
          <w:rFonts w:hint="default" w:ascii="Times New Roman" w:hAnsi="Times New Roman" w:eastAsia="方正仿宋_GBK" w:cs="Times New Roman"/>
          <w:sz w:val="32"/>
          <w:szCs w:val="32"/>
        </w:rPr>
        <w:t>上限核定；实际职工人数低于</w:t>
      </w:r>
      <w:r>
        <w:rPr>
          <w:rFonts w:hint="default" w:ascii="Times New Roman" w:hAnsi="Times New Roman" w:eastAsia="方正仿宋_GBK" w:cs="Times New Roman"/>
          <w:sz w:val="32"/>
          <w:szCs w:val="32"/>
          <w:lang w:eastAsia="zh-CN"/>
        </w:rPr>
        <w:t>规定人数</w:t>
      </w:r>
      <w:r>
        <w:rPr>
          <w:rFonts w:hint="default" w:ascii="Times New Roman" w:hAnsi="Times New Roman" w:eastAsia="方正仿宋_GBK" w:cs="Times New Roman"/>
          <w:sz w:val="32"/>
          <w:szCs w:val="32"/>
        </w:rPr>
        <w:t>下限的，据实核定。</w:t>
      </w:r>
    </w:p>
    <w:p>
      <w:pPr>
        <w:pStyle w:val="5"/>
        <w:keepNext w:val="0"/>
        <w:keepLines w:val="0"/>
        <w:pageBreakBefore w:val="0"/>
        <w:widowControl w:val="0"/>
        <w:kinsoku/>
        <w:wordWrap/>
        <w:overflowPunct/>
        <w:topLinePunct w:val="0"/>
        <w:autoSpaceDE/>
        <w:bidi w:val="0"/>
        <w:adjustRightInd/>
        <w:snapToGrid/>
        <w:spacing w:line="580" w:lineRule="exact"/>
        <w:ind w:firstLine="640"/>
        <w:jc w:val="both"/>
        <w:textAlignment w:val="auto"/>
        <w:rPr>
          <w:rFonts w:hint="default" w:ascii="Times New Roman" w:hAnsi="Times New Roman" w:eastAsia="方正仿宋_GBK" w:cs="Times New Roman"/>
          <w:bCs/>
          <w:szCs w:val="32"/>
        </w:rPr>
      </w:pPr>
      <w:r>
        <w:rPr>
          <w:rFonts w:hint="default" w:ascii="Times New Roman" w:hAnsi="Times New Roman" w:eastAsia="方正仿宋_GBK" w:cs="Times New Roman"/>
          <w:bCs/>
          <w:szCs w:val="32"/>
        </w:rPr>
        <w:t>2.职工工资。职工平均工资</w:t>
      </w:r>
      <w:r>
        <w:rPr>
          <w:rFonts w:hint="default" w:ascii="Times New Roman" w:hAnsi="Times New Roman" w:eastAsia="方正仿宋_GBK" w:cs="Times New Roman"/>
          <w:szCs w:val="32"/>
        </w:rPr>
        <w:t>（包括以货币形式向职工发放的工资、奖金、津贴、补贴等各种报酬）原则上</w:t>
      </w:r>
      <w:r>
        <w:rPr>
          <w:rFonts w:hint="default" w:ascii="Times New Roman" w:hAnsi="Times New Roman" w:eastAsia="方正仿宋_GBK" w:cs="Times New Roman"/>
          <w:bCs/>
          <w:szCs w:val="32"/>
        </w:rPr>
        <w:t>按照监审期间最后一年在岗职工实际平均水平</w:t>
      </w:r>
      <w:r>
        <w:rPr>
          <w:rFonts w:hint="default" w:ascii="Times New Roman" w:hAnsi="Times New Roman" w:eastAsia="方正仿宋_GBK" w:cs="Times New Roman"/>
          <w:szCs w:val="32"/>
        </w:rPr>
        <w:t>据实核定，</w:t>
      </w:r>
      <w:r>
        <w:rPr>
          <w:rFonts w:hint="default" w:ascii="Times New Roman" w:hAnsi="Times New Roman" w:eastAsia="方正仿宋_GBK" w:cs="Times New Roman"/>
          <w:bCs/>
          <w:szCs w:val="32"/>
        </w:rPr>
        <w:t>但最高不超过统计部门公布的监审期间最后一年当地电力、燃气及水的生产和供应业在岗职工平均工资，</w:t>
      </w:r>
      <w:r>
        <w:rPr>
          <w:rFonts w:hint="default" w:ascii="Times New Roman" w:hAnsi="Times New Roman" w:eastAsia="方正仿宋_GBK" w:cs="Times New Roman"/>
          <w:szCs w:val="32"/>
        </w:rPr>
        <w:t>超过部分同时核减福利费、社会保障费等相关费用。</w:t>
      </w:r>
      <w:r>
        <w:rPr>
          <w:rFonts w:hint="default" w:ascii="Times New Roman" w:hAnsi="Times New Roman" w:eastAsia="方正仿宋_GBK" w:cs="Times New Roman"/>
          <w:bCs/>
          <w:szCs w:val="32"/>
        </w:rPr>
        <w:t>由政府有关部门进行工资管理的，职工工资总额上限为按照其工资管理规定核定的数值。</w:t>
      </w:r>
    </w:p>
    <w:p>
      <w:pPr>
        <w:pStyle w:val="5"/>
        <w:keepNext w:val="0"/>
        <w:keepLines w:val="0"/>
        <w:pageBreakBefore w:val="0"/>
        <w:widowControl w:val="0"/>
        <w:numPr>
          <w:ilvl w:val="0"/>
          <w:numId w:val="1"/>
        </w:numPr>
        <w:kinsoku/>
        <w:wordWrap/>
        <w:overflowPunct/>
        <w:topLinePunct w:val="0"/>
        <w:autoSpaceDE/>
        <w:bidi w:val="0"/>
        <w:adjustRightInd/>
        <w:snapToGrid/>
        <w:spacing w:line="580" w:lineRule="exact"/>
        <w:ind w:firstLine="640" w:firstLineChars="200"/>
        <w:jc w:val="both"/>
        <w:textAlignment w:val="auto"/>
        <w:rPr>
          <w:rFonts w:hint="default" w:ascii="Times New Roman" w:hAnsi="Times New Roman" w:eastAsia="方正仿宋_GBK" w:cs="Times New Roman"/>
          <w:bCs/>
          <w:szCs w:val="32"/>
        </w:rPr>
      </w:pPr>
      <w:r>
        <w:rPr>
          <w:rFonts w:hint="default" w:ascii="Times New Roman" w:hAnsi="Times New Roman" w:eastAsia="方正仿宋_GBK" w:cs="Times New Roman"/>
          <w:bCs/>
          <w:szCs w:val="32"/>
        </w:rPr>
        <w:t>职工福利费、工会经费、职工教育经费、社会保险费</w:t>
      </w:r>
      <w:r>
        <w:rPr>
          <w:rFonts w:hint="eastAsia" w:eastAsia="方正仿宋_GBK" w:cs="Times New Roman"/>
          <w:bCs/>
          <w:szCs w:val="32"/>
          <w:lang w:eastAsia="zh-CN"/>
        </w:rPr>
        <w:t>（</w:t>
      </w:r>
      <w:r>
        <w:rPr>
          <w:rFonts w:hint="default" w:ascii="Times New Roman" w:hAnsi="Times New Roman" w:eastAsia="方正仿宋_GBK" w:cs="Times New Roman"/>
          <w:bCs/>
          <w:szCs w:val="32"/>
        </w:rPr>
        <w:t>包含补充医疗和补充养老保险</w:t>
      </w:r>
      <w:r>
        <w:rPr>
          <w:rFonts w:hint="eastAsia" w:eastAsia="方正仿宋_GBK" w:cs="Times New Roman"/>
          <w:bCs/>
          <w:szCs w:val="32"/>
          <w:lang w:eastAsia="zh-CN"/>
        </w:rPr>
        <w:t>）</w:t>
      </w:r>
      <w:r>
        <w:rPr>
          <w:rFonts w:hint="default" w:ascii="Times New Roman" w:hAnsi="Times New Roman" w:eastAsia="方正仿宋_GBK" w:cs="Times New Roman"/>
          <w:bCs/>
          <w:szCs w:val="32"/>
        </w:rPr>
        <w:t>、住房公积金，审核计算基数原则上按监审期间最后一年实缴基数确定，但最高不超过核定的工资总额和当地政府规定的基数，计算比例按照不超过国家或当地政府统一规定的比例确定。职工意外险等保障职工正常合法权益的保险费用可以计入定价成本。</w:t>
      </w:r>
    </w:p>
    <w:p>
      <w:pPr>
        <w:pStyle w:val="5"/>
        <w:keepNext w:val="0"/>
        <w:keepLines w:val="0"/>
        <w:pageBreakBefore w:val="0"/>
        <w:widowControl w:val="0"/>
        <w:numPr>
          <w:ilvl w:val="0"/>
          <w:numId w:val="1"/>
        </w:numPr>
        <w:kinsoku/>
        <w:wordWrap/>
        <w:overflowPunct/>
        <w:topLinePunct w:val="0"/>
        <w:autoSpaceDE/>
        <w:bidi w:val="0"/>
        <w:adjustRightInd/>
        <w:snapToGrid/>
        <w:spacing w:line="580" w:lineRule="exact"/>
        <w:ind w:firstLine="640" w:firstLineChars="200"/>
        <w:jc w:val="both"/>
        <w:textAlignment w:val="auto"/>
        <w:rPr>
          <w:rFonts w:hint="default" w:ascii="Times New Roman" w:hAnsi="Times New Roman" w:eastAsia="方正仿宋_GBK" w:cs="Times New Roman"/>
          <w:bCs/>
          <w:szCs w:val="32"/>
        </w:rPr>
      </w:pPr>
      <w:r>
        <w:rPr>
          <w:rFonts w:hint="default" w:ascii="Times New Roman" w:hAnsi="Times New Roman" w:eastAsia="方正仿宋_GBK" w:cs="Times New Roman"/>
          <w:bCs/>
          <w:szCs w:val="32"/>
        </w:rPr>
        <w:t>因依法解除与职工的劳动关系给予的补偿，按照一定年限分摊计入定价成本。分摊年限一般不低于5年。</w:t>
      </w:r>
    </w:p>
    <w:p>
      <w:pPr>
        <w:pStyle w:val="5"/>
        <w:keepNext w:val="0"/>
        <w:keepLines w:val="0"/>
        <w:pageBreakBefore w:val="0"/>
        <w:widowControl w:val="0"/>
        <w:numPr>
          <w:ilvl w:val="0"/>
          <w:numId w:val="1"/>
        </w:numPr>
        <w:kinsoku/>
        <w:wordWrap/>
        <w:overflowPunct/>
        <w:topLinePunct w:val="0"/>
        <w:autoSpaceDE/>
        <w:bidi w:val="0"/>
        <w:adjustRightInd/>
        <w:snapToGrid/>
        <w:spacing w:line="580" w:lineRule="exact"/>
        <w:ind w:firstLine="640" w:firstLineChars="200"/>
        <w:jc w:val="both"/>
        <w:textAlignment w:val="auto"/>
        <w:rPr>
          <w:rFonts w:hint="default" w:ascii="Times New Roman" w:hAnsi="Times New Roman" w:eastAsia="方正仿宋_GBK" w:cs="Times New Roman"/>
          <w:bCs/>
          <w:szCs w:val="32"/>
        </w:rPr>
      </w:pPr>
      <w:r>
        <w:rPr>
          <w:rFonts w:hint="default" w:ascii="Times New Roman" w:hAnsi="Times New Roman" w:eastAsia="方正仿宋_GBK" w:cs="Times New Roman"/>
          <w:bCs/>
          <w:szCs w:val="32"/>
        </w:rPr>
        <w:t>劳务派遣、临时用工性质的用工支出未包含在工资总额内的，在不超过国家有关规定范围内据实核定。</w:t>
      </w:r>
    </w:p>
    <w:p>
      <w:pPr>
        <w:keepNext w:val="0"/>
        <w:keepLines w:val="0"/>
        <w:pageBreakBefore w:val="0"/>
        <w:widowControl w:val="0"/>
        <w:kinsoku/>
        <w:wordWrap/>
        <w:overflowPunct/>
        <w:topLinePunct w:val="0"/>
        <w:autoSpaceDE/>
        <w:autoSpaceDN w:val="0"/>
        <w:bidi w:val="0"/>
        <w:adjustRightInd/>
        <w:snapToGrid/>
        <w:spacing w:line="580" w:lineRule="exact"/>
        <w:ind w:firstLine="600"/>
        <w:jc w:val="left"/>
        <w:textAlignment w:val="auto"/>
        <w:rPr>
          <w:rFonts w:hint="default" w:ascii="Times New Roman" w:hAnsi="Times New Roman" w:eastAsia="方正仿宋_GBK" w:cs="Times New Roman"/>
          <w:sz w:val="32"/>
          <w:szCs w:val="32"/>
        </w:rPr>
      </w:pPr>
      <w:r>
        <w:rPr>
          <w:rFonts w:hint="default" w:ascii="黑体" w:hAnsi="黑体" w:eastAsia="黑体" w:cs="黑体"/>
          <w:b w:val="0"/>
          <w:bCs/>
          <w:sz w:val="32"/>
          <w:szCs w:val="32"/>
        </w:rPr>
        <w:t>第十五条</w:t>
      </w:r>
      <w:r>
        <w:rPr>
          <w:rFonts w:hint="default" w:ascii="Times New Roman" w:hAnsi="Times New Roman" w:eastAsia="方正仿宋_GBK" w:cs="Times New Roman"/>
          <w:b/>
          <w:bCs/>
          <w:sz w:val="32"/>
          <w:szCs w:val="32"/>
          <w:lang w:val="en-US" w:eastAsia="zh-CN"/>
        </w:rPr>
        <w:t xml:space="preserve">  </w:t>
      </w:r>
      <w:r>
        <w:rPr>
          <w:rFonts w:hint="default" w:ascii="Times New Roman" w:hAnsi="Times New Roman" w:eastAsia="方正仿宋_GBK" w:cs="Times New Roman"/>
          <w:sz w:val="32"/>
          <w:szCs w:val="32"/>
        </w:rPr>
        <w:t>材料费是指污水处理过程中实际消耗的原料及主要材料</w:t>
      </w:r>
      <w:r>
        <w:rPr>
          <w:rFonts w:hint="default" w:ascii="Times New Roman" w:hAnsi="Times New Roman" w:eastAsia="方正仿宋_GBK" w:cs="Times New Roman"/>
          <w:sz w:val="32"/>
          <w:szCs w:val="32"/>
          <w:lang w:eastAsia="zh-CN"/>
        </w:rPr>
        <w:t>费用</w:t>
      </w:r>
      <w:r>
        <w:rPr>
          <w:rFonts w:hint="default" w:ascii="Times New Roman" w:hAnsi="Times New Roman" w:eastAsia="方正仿宋_GBK" w:cs="Times New Roman"/>
          <w:sz w:val="32"/>
          <w:szCs w:val="32"/>
        </w:rPr>
        <w:t>，包括购买各种药剂的</w:t>
      </w:r>
      <w:r>
        <w:rPr>
          <w:rFonts w:hint="default" w:ascii="Times New Roman" w:hAnsi="Times New Roman" w:eastAsia="方正仿宋_GBK" w:cs="Times New Roman"/>
          <w:sz w:val="32"/>
          <w:szCs w:val="32"/>
          <w:lang w:eastAsia="zh-CN"/>
        </w:rPr>
        <w:t>费用</w:t>
      </w:r>
      <w:r>
        <w:rPr>
          <w:rFonts w:hint="default" w:ascii="Times New Roman" w:hAnsi="Times New Roman" w:eastAsia="方正仿宋_GBK" w:cs="Times New Roman"/>
          <w:sz w:val="32"/>
          <w:szCs w:val="32"/>
        </w:rPr>
        <w:t>。计入定价成本的原材料成本按实际消耗数量与实际购进价格据实核定，实际购进价格明显高于同期同类产品市场平均价格的，原则上应当按照同期同类产品市场平均价格确定其进货成本。</w:t>
      </w:r>
    </w:p>
    <w:p>
      <w:pPr>
        <w:keepNext w:val="0"/>
        <w:keepLines w:val="0"/>
        <w:pageBreakBefore w:val="0"/>
        <w:widowControl w:val="0"/>
        <w:kinsoku/>
        <w:wordWrap/>
        <w:overflowPunct/>
        <w:topLinePunct w:val="0"/>
        <w:autoSpaceDE/>
        <w:autoSpaceDN w:val="0"/>
        <w:bidi w:val="0"/>
        <w:adjustRightInd/>
        <w:snapToGrid/>
        <w:spacing w:line="580" w:lineRule="exact"/>
        <w:ind w:firstLine="600"/>
        <w:jc w:val="left"/>
        <w:textAlignment w:val="auto"/>
        <w:rPr>
          <w:rFonts w:hint="default" w:ascii="Times New Roman" w:hAnsi="Times New Roman" w:eastAsia="方正仿宋_GBK" w:cs="Times New Roman"/>
          <w:sz w:val="32"/>
          <w:szCs w:val="32"/>
        </w:rPr>
      </w:pPr>
      <w:r>
        <w:rPr>
          <w:rFonts w:hint="default" w:ascii="黑体" w:hAnsi="黑体" w:eastAsia="黑体" w:cs="黑体"/>
          <w:b w:val="0"/>
          <w:bCs/>
          <w:sz w:val="32"/>
          <w:szCs w:val="32"/>
        </w:rPr>
        <w:t>第十六条</w:t>
      </w:r>
      <w:r>
        <w:rPr>
          <w:rFonts w:hint="default" w:ascii="黑体" w:hAnsi="黑体" w:eastAsia="黑体" w:cs="黑体"/>
          <w:b w:val="0"/>
          <w:bCs/>
          <w:sz w:val="32"/>
          <w:szCs w:val="32"/>
          <w:lang w:val="en-US" w:eastAsia="zh-CN"/>
        </w:rPr>
        <w:t xml:space="preserve"> </w:t>
      </w:r>
      <w:r>
        <w:rPr>
          <w:rFonts w:hint="default" w:ascii="Times New Roman" w:hAnsi="Times New Roman" w:eastAsia="方正仿宋_GBK" w:cs="Times New Roman"/>
          <w:b/>
          <w:bCs/>
          <w:sz w:val="32"/>
          <w:szCs w:val="32"/>
          <w:lang w:val="en-US" w:eastAsia="zh-CN"/>
        </w:rPr>
        <w:t xml:space="preserve"> </w:t>
      </w:r>
      <w:r>
        <w:rPr>
          <w:rFonts w:hint="default" w:ascii="Times New Roman" w:hAnsi="Times New Roman" w:eastAsia="方正仿宋_GBK" w:cs="Times New Roman"/>
          <w:sz w:val="32"/>
          <w:szCs w:val="32"/>
        </w:rPr>
        <w:t>固定资产、无形资产等各类资产的原值，参照合理规模，遵循历史成本原则核定。按照规定进行过清产核资的，根据</w:t>
      </w:r>
      <w:r>
        <w:rPr>
          <w:rFonts w:hint="default" w:ascii="Times New Roman" w:hAnsi="Times New Roman" w:eastAsia="方正仿宋_GBK" w:cs="Times New Roman"/>
          <w:sz w:val="32"/>
          <w:szCs w:val="32"/>
          <w:lang w:eastAsia="zh-CN"/>
        </w:rPr>
        <w:t>政府</w:t>
      </w:r>
      <w:r>
        <w:rPr>
          <w:rFonts w:hint="default" w:ascii="Times New Roman" w:hAnsi="Times New Roman" w:eastAsia="方正仿宋_GBK" w:cs="Times New Roman"/>
          <w:sz w:val="32"/>
          <w:szCs w:val="32"/>
        </w:rPr>
        <w:t>有关部门认定的固定资产价值核定。经营者发生合并、转让、分立等改组活动的，可按经有关政府部门认可的评估价值确定资产成本。</w:t>
      </w:r>
    </w:p>
    <w:p>
      <w:pPr>
        <w:keepNext w:val="0"/>
        <w:keepLines w:val="0"/>
        <w:pageBreakBefore w:val="0"/>
        <w:widowControl w:val="0"/>
        <w:kinsoku/>
        <w:wordWrap/>
        <w:overflowPunct/>
        <w:topLinePunct w:val="0"/>
        <w:autoSpaceDE/>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黑体" w:hAnsi="黑体" w:eastAsia="黑体" w:cs="黑体"/>
          <w:b w:val="0"/>
          <w:bCs/>
          <w:sz w:val="32"/>
          <w:szCs w:val="32"/>
        </w:rPr>
        <w:t>第十七条</w:t>
      </w:r>
      <w:r>
        <w:rPr>
          <w:rFonts w:hint="default" w:ascii="Times New Roman" w:hAnsi="Times New Roman" w:eastAsia="方正仿宋_GBK" w:cs="Times New Roman"/>
          <w:b/>
          <w:bCs/>
          <w:sz w:val="32"/>
          <w:szCs w:val="32"/>
          <w:lang w:val="en-US" w:eastAsia="zh-CN"/>
        </w:rPr>
        <w:t xml:space="preserve">  </w:t>
      </w:r>
      <w:r>
        <w:rPr>
          <w:rFonts w:hint="default" w:ascii="Times New Roman" w:hAnsi="Times New Roman" w:eastAsia="方正仿宋_GBK" w:cs="Times New Roman"/>
          <w:sz w:val="32"/>
          <w:szCs w:val="32"/>
        </w:rPr>
        <w:t>固定资产折旧方法采用年限平均法，固定资产折旧额原则上按照成本监审确定的固定资产原值和定价折旧年限（见附表）计算确定。企业确定的固定资产折旧年限低于规定折旧年限的，成本监审时应根据规定调整折旧年限。固定资产残值率按</w:t>
      </w:r>
      <w:r>
        <w:rPr>
          <w:rFonts w:hint="default" w:ascii="Times New Roman" w:hAnsi="Times New Roman" w:eastAsia="方正仿宋_GBK" w:cs="Times New Roman"/>
          <w:color w:val="auto"/>
          <w:sz w:val="32"/>
          <w:szCs w:val="32"/>
          <w:lang w:val="en-US" w:eastAsia="zh-CN"/>
        </w:rPr>
        <w:t>3%-5</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sz w:val="32"/>
          <w:szCs w:val="32"/>
        </w:rPr>
        <w:t>确定，不能回收的管道残值率可按0核定。</w:t>
      </w:r>
    </w:p>
    <w:p>
      <w:pPr>
        <w:keepNext w:val="0"/>
        <w:keepLines w:val="0"/>
        <w:pageBreakBefore w:val="0"/>
        <w:widowControl w:val="0"/>
        <w:kinsoku/>
        <w:wordWrap/>
        <w:overflowPunct/>
        <w:topLinePunct w:val="0"/>
        <w:autoSpaceDE/>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以下固定资产不得计提折旧：未投入实际使用或不需用的；在建工程项目交付使用以前的固定资产；以经营方式租入的固定资产；不能提供固定资产价值有效证明的；由政府补助或者社会无偿投入（含无偿划转）的资产；评估增值部分；闲置超过12个月；未提足折旧提前报废的；已提足折旧仍在使用的；国家规定不提折旧的其它固定资产。</w:t>
      </w:r>
    </w:p>
    <w:p>
      <w:pPr>
        <w:keepNext w:val="0"/>
        <w:keepLines w:val="0"/>
        <w:pageBreakBefore w:val="0"/>
        <w:widowControl w:val="0"/>
        <w:kinsoku/>
        <w:wordWrap/>
        <w:overflowPunct/>
        <w:topLinePunct w:val="0"/>
        <w:autoSpaceDE/>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黑体" w:hAnsi="黑体" w:eastAsia="黑体" w:cs="黑体"/>
          <w:b w:val="0"/>
          <w:bCs/>
          <w:sz w:val="32"/>
          <w:szCs w:val="32"/>
        </w:rPr>
        <w:t>第十八条</w:t>
      </w:r>
      <w:r>
        <w:rPr>
          <w:rFonts w:hint="default" w:ascii="Times New Roman" w:hAnsi="Times New Roman" w:eastAsia="方正仿宋_GBK" w:cs="Times New Roman"/>
          <w:b/>
          <w:bCs/>
          <w:sz w:val="32"/>
          <w:szCs w:val="32"/>
          <w:lang w:val="en-US" w:eastAsia="zh-CN"/>
        </w:rPr>
        <w:t xml:space="preserve">  </w:t>
      </w:r>
      <w:r>
        <w:rPr>
          <w:rFonts w:hint="default" w:ascii="Times New Roman" w:hAnsi="Times New Roman" w:eastAsia="方正仿宋_GBK" w:cs="Times New Roman"/>
          <w:sz w:val="32"/>
          <w:szCs w:val="32"/>
        </w:rPr>
        <w:t>计入定价成本的固定资产折旧按下列公式计算：</w:t>
      </w:r>
    </w:p>
    <w:p>
      <w:pPr>
        <w:keepNext w:val="0"/>
        <w:keepLines w:val="0"/>
        <w:pageBreakBefore w:val="0"/>
        <w:widowControl w:val="0"/>
        <w:kinsoku/>
        <w:wordWrap/>
        <w:overflowPunct/>
        <w:topLinePunct w:val="0"/>
        <w:autoSpaceDE/>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监审</w:t>
      </w:r>
      <w:r>
        <w:rPr>
          <w:rFonts w:hint="default" w:ascii="Times New Roman" w:hAnsi="Times New Roman" w:eastAsia="方正仿宋_GBK" w:cs="Times New Roman"/>
          <w:sz w:val="32"/>
          <w:szCs w:val="32"/>
        </w:rPr>
        <w:t>核定折旧=本期</w:t>
      </w:r>
      <w:r>
        <w:rPr>
          <w:rFonts w:hint="default" w:ascii="Times New Roman" w:hAnsi="Times New Roman" w:eastAsia="方正仿宋_GBK" w:cs="Times New Roman"/>
          <w:sz w:val="32"/>
          <w:szCs w:val="32"/>
          <w:lang w:eastAsia="zh-CN"/>
        </w:rPr>
        <w:t>监审</w:t>
      </w:r>
      <w:r>
        <w:rPr>
          <w:rFonts w:hint="default" w:ascii="Times New Roman" w:hAnsi="Times New Roman" w:eastAsia="方正仿宋_GBK" w:cs="Times New Roman"/>
          <w:sz w:val="32"/>
          <w:szCs w:val="32"/>
        </w:rPr>
        <w:t>折旧×负荷冗余调整系数</w:t>
      </w:r>
    </w:p>
    <w:p>
      <w:pPr>
        <w:keepNext w:val="0"/>
        <w:keepLines w:val="0"/>
        <w:pageBreakBefore w:val="0"/>
        <w:widowControl w:val="0"/>
        <w:numPr>
          <w:ilvl w:val="0"/>
          <w:numId w:val="2"/>
        </w:numPr>
        <w:kinsoku/>
        <w:wordWrap/>
        <w:overflowPunct/>
        <w:topLinePunct w:val="0"/>
        <w:autoSpaceDE/>
        <w:autoSpaceDN w:val="0"/>
        <w:bidi w:val="0"/>
        <w:adjustRightInd/>
        <w:snapToGrid/>
        <w:spacing w:line="58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经营者从正式投入运行之日起（不含试运行，试运行期不超过6个月）3年以内的，负荷冗余调整系数=实际年污水处理总量÷（设计年污水处理总量×60%），负荷冗余调整系数最高不超过1。</w:t>
      </w:r>
    </w:p>
    <w:p>
      <w:pPr>
        <w:keepNext w:val="0"/>
        <w:keepLines w:val="0"/>
        <w:pageBreakBefore w:val="0"/>
        <w:widowControl w:val="0"/>
        <w:numPr>
          <w:ilvl w:val="0"/>
          <w:numId w:val="2"/>
        </w:numPr>
        <w:kinsoku/>
        <w:wordWrap/>
        <w:overflowPunct/>
        <w:topLinePunct w:val="0"/>
        <w:autoSpaceDE/>
        <w:autoSpaceDN w:val="0"/>
        <w:bidi w:val="0"/>
        <w:adjustRightInd/>
        <w:snapToGrid/>
        <w:spacing w:line="58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经营者投入运行后3年及以上的，负荷冗余调整系数=实际年污水处理总量÷（设计年污水处理总量×75%），负荷冗余调整系数最高不超过1。</w:t>
      </w:r>
    </w:p>
    <w:p>
      <w:pPr>
        <w:keepNext w:val="0"/>
        <w:keepLines w:val="0"/>
        <w:pageBreakBefore w:val="0"/>
        <w:widowControl w:val="0"/>
        <w:kinsoku/>
        <w:wordWrap/>
        <w:overflowPunct/>
        <w:topLinePunct w:val="0"/>
        <w:autoSpaceDE/>
        <w:autoSpaceDN w:val="0"/>
        <w:bidi w:val="0"/>
        <w:adjustRightInd/>
        <w:snapToGrid/>
        <w:spacing w:line="580" w:lineRule="exact"/>
        <w:ind w:firstLine="6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其中，设计日处理能力是指经营者每</w:t>
      </w:r>
      <w:r>
        <w:rPr>
          <w:rFonts w:hint="default" w:ascii="Times New Roman" w:hAnsi="Times New Roman" w:eastAsia="方正仿宋_GBK" w:cs="Times New Roman"/>
          <w:sz w:val="32"/>
          <w:szCs w:val="32"/>
          <w:lang w:eastAsia="zh-CN"/>
        </w:rPr>
        <w:t>个</w:t>
      </w:r>
      <w:r>
        <w:rPr>
          <w:rFonts w:hint="default" w:ascii="Times New Roman" w:hAnsi="Times New Roman" w:eastAsia="方正仿宋_GBK" w:cs="Times New Roman"/>
          <w:sz w:val="32"/>
          <w:szCs w:val="32"/>
        </w:rPr>
        <w:t>自然日（24小时）处理污水量的设计能力。设计年污水处理量=设计日处理能力×（</w:t>
      </w:r>
      <w:r>
        <w:rPr>
          <w:rFonts w:hint="default" w:ascii="Times New Roman" w:hAnsi="Times New Roman" w:eastAsia="方正仿宋_GBK" w:cs="Times New Roman"/>
          <w:sz w:val="32"/>
          <w:szCs w:val="32"/>
          <w:lang w:eastAsia="zh-CN"/>
        </w:rPr>
        <w:t>全年天数</w:t>
      </w:r>
      <w:r>
        <w:rPr>
          <w:rFonts w:hint="default" w:ascii="Times New Roman" w:hAnsi="Times New Roman" w:eastAsia="方正仿宋_GBK" w:cs="Times New Roman"/>
          <w:sz w:val="32"/>
          <w:szCs w:val="32"/>
        </w:rPr>
        <w:t>减规定的每年设备维修保养天数）。</w:t>
      </w:r>
    </w:p>
    <w:p>
      <w:pPr>
        <w:keepNext w:val="0"/>
        <w:keepLines w:val="0"/>
        <w:pageBreakBefore w:val="0"/>
        <w:widowControl w:val="0"/>
        <w:kinsoku/>
        <w:wordWrap/>
        <w:overflowPunct/>
        <w:topLinePunct w:val="0"/>
        <w:autoSpaceDE/>
        <w:autoSpaceDN w:val="0"/>
        <w:bidi w:val="0"/>
        <w:adjustRightInd/>
        <w:snapToGrid/>
        <w:spacing w:line="580" w:lineRule="exact"/>
        <w:ind w:firstLine="6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年污水处理总量是指经营者正常运行后，经过标准计量，且符合水质排放规定的年污水处理量总和。</w:t>
      </w:r>
    </w:p>
    <w:p>
      <w:pPr>
        <w:keepNext w:val="0"/>
        <w:keepLines w:val="0"/>
        <w:pageBreakBefore w:val="0"/>
        <w:widowControl w:val="0"/>
        <w:kinsoku/>
        <w:wordWrap/>
        <w:overflowPunct/>
        <w:topLinePunct w:val="0"/>
        <w:autoSpaceDE/>
        <w:autoSpaceDN w:val="0"/>
        <w:bidi w:val="0"/>
        <w:adjustRightInd/>
        <w:snapToGrid/>
        <w:spacing w:line="580" w:lineRule="exact"/>
        <w:ind w:firstLine="600"/>
        <w:jc w:val="left"/>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一个经营者下辖几个污水处理厂（装置），核定折旧分别计算。经营者的“设计日处理能力”等于各厂（或各装置）之和</w:t>
      </w:r>
      <w:r>
        <w:rPr>
          <w:rFonts w:hint="default"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val="0"/>
        <w:bidi w:val="0"/>
        <w:adjustRightInd/>
        <w:snapToGrid/>
        <w:spacing w:line="580" w:lineRule="exact"/>
        <w:ind w:firstLine="600"/>
        <w:jc w:val="left"/>
        <w:textAlignment w:val="auto"/>
        <w:rPr>
          <w:rFonts w:hint="default" w:ascii="Times New Roman" w:hAnsi="Times New Roman" w:eastAsia="方正仿宋_GBK" w:cs="Times New Roman"/>
          <w:sz w:val="32"/>
          <w:szCs w:val="32"/>
        </w:rPr>
      </w:pPr>
      <w:r>
        <w:rPr>
          <w:rFonts w:hint="default" w:ascii="黑体" w:hAnsi="黑体" w:eastAsia="黑体" w:cs="黑体"/>
          <w:b w:val="0"/>
          <w:bCs/>
          <w:sz w:val="32"/>
          <w:szCs w:val="32"/>
        </w:rPr>
        <w:t>第十九条</w:t>
      </w:r>
      <w:r>
        <w:rPr>
          <w:rFonts w:hint="default" w:ascii="Times New Roman" w:hAnsi="Times New Roman" w:eastAsia="方正仿宋_GBK" w:cs="Times New Roman"/>
          <w:b/>
          <w:bCs/>
          <w:sz w:val="32"/>
          <w:szCs w:val="32"/>
          <w:lang w:val="en-US" w:eastAsia="zh-CN"/>
        </w:rPr>
        <w:t xml:space="preserve">  </w:t>
      </w:r>
      <w:r>
        <w:rPr>
          <w:rFonts w:hint="default" w:ascii="Times New Roman" w:hAnsi="Times New Roman" w:eastAsia="方正仿宋_GBK" w:cs="Times New Roman"/>
          <w:sz w:val="32"/>
          <w:szCs w:val="32"/>
        </w:rPr>
        <w:t xml:space="preserve">实行特许经营的，固定资产折旧年限按不同情况分别处理： </w:t>
      </w:r>
    </w:p>
    <w:p>
      <w:pPr>
        <w:keepNext w:val="0"/>
        <w:keepLines w:val="0"/>
        <w:pageBreakBefore w:val="0"/>
        <w:widowControl w:val="0"/>
        <w:kinsoku/>
        <w:wordWrap/>
        <w:overflowPunct/>
        <w:topLinePunct w:val="0"/>
        <w:autoSpaceDE/>
        <w:autoSpaceDN w:val="0"/>
        <w:bidi w:val="0"/>
        <w:adjustRightInd/>
        <w:snapToGrid/>
        <w:spacing w:line="580" w:lineRule="exact"/>
        <w:ind w:firstLine="6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（一）特许经营期满后资产无偿移交给政府或其他经营者的，固定资产分类折旧年限最高不超过特许经营期；</w:t>
      </w:r>
    </w:p>
    <w:p>
      <w:pPr>
        <w:keepNext w:val="0"/>
        <w:keepLines w:val="0"/>
        <w:pageBreakBefore w:val="0"/>
        <w:widowControl w:val="0"/>
        <w:kinsoku/>
        <w:wordWrap/>
        <w:overflowPunct/>
        <w:topLinePunct w:val="0"/>
        <w:autoSpaceDE/>
        <w:autoSpaceDN w:val="0"/>
        <w:bidi w:val="0"/>
        <w:adjustRightInd/>
        <w:snapToGrid/>
        <w:spacing w:line="580" w:lineRule="exact"/>
        <w:ind w:firstLine="6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（二）特许经营期满后资产有偿转让的，按第十七条规定确定折旧年限。</w:t>
      </w:r>
    </w:p>
    <w:p>
      <w:pPr>
        <w:keepNext w:val="0"/>
        <w:keepLines w:val="0"/>
        <w:pageBreakBefore w:val="0"/>
        <w:widowControl w:val="0"/>
        <w:kinsoku/>
        <w:wordWrap/>
        <w:overflowPunct/>
        <w:topLinePunct w:val="0"/>
        <w:autoSpaceDE/>
        <w:autoSpaceDN w:val="0"/>
        <w:bidi w:val="0"/>
        <w:adjustRightInd/>
        <w:snapToGrid/>
        <w:spacing w:line="580" w:lineRule="exact"/>
        <w:ind w:firstLine="6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特许经营模式下固定资产折旧审核原则上与其他类型企业相同的折旧政策。其中，污水处理企业账面有完整固定资产记录的，按照固定资产历史成本和规定年限计提折旧；企业将污水处理设施计入“无形资产—特许经营权”并摊销的，按照设施投入运营时的历史成本和规定年限分类计提折旧，相关无形资产摊销费用不得再次计入定价成本；采取委托运营模式、账面不体现固定资产的，要取得相关固定资产的历史成本数据，按照历史成本和规定年限分类计提折旧，并在成本监审报告中详细说明对定价成本的影响。</w:t>
      </w:r>
    </w:p>
    <w:p>
      <w:pPr>
        <w:keepNext w:val="0"/>
        <w:keepLines w:val="0"/>
        <w:pageBreakBefore w:val="0"/>
        <w:widowControl w:val="0"/>
        <w:kinsoku/>
        <w:wordWrap/>
        <w:overflowPunct/>
        <w:topLinePunct w:val="0"/>
        <w:autoSpaceDE/>
        <w:autoSpaceDN w:val="0"/>
        <w:bidi w:val="0"/>
        <w:adjustRightInd/>
        <w:snapToGrid/>
        <w:spacing w:line="580" w:lineRule="exact"/>
        <w:ind w:firstLine="600"/>
        <w:jc w:val="left"/>
        <w:textAlignment w:val="auto"/>
        <w:rPr>
          <w:rFonts w:hint="default" w:ascii="Times New Roman" w:hAnsi="Times New Roman" w:eastAsia="方正仿宋_GBK" w:cs="Times New Roman"/>
          <w:sz w:val="32"/>
          <w:szCs w:val="32"/>
        </w:rPr>
      </w:pPr>
      <w:r>
        <w:rPr>
          <w:rFonts w:hint="default" w:ascii="黑体" w:hAnsi="黑体" w:eastAsia="黑体" w:cs="黑体"/>
          <w:b w:val="0"/>
          <w:bCs/>
          <w:sz w:val="32"/>
          <w:szCs w:val="32"/>
        </w:rPr>
        <w:t>第二十条</w:t>
      </w:r>
      <w:r>
        <w:rPr>
          <w:rFonts w:hint="default" w:ascii="黑体" w:hAnsi="黑体" w:eastAsia="黑体" w:cs="黑体"/>
          <w:b w:val="0"/>
          <w:bCs/>
          <w:sz w:val="32"/>
          <w:szCs w:val="32"/>
          <w:lang w:val="en-US" w:eastAsia="zh-CN"/>
        </w:rPr>
        <w:t xml:space="preserve"> </w:t>
      </w:r>
      <w:r>
        <w:rPr>
          <w:rFonts w:hint="default" w:ascii="Times New Roman" w:hAnsi="Times New Roman" w:eastAsia="方正仿宋_GBK" w:cs="Times New Roman"/>
          <w:b/>
          <w:bCs/>
          <w:sz w:val="32"/>
          <w:szCs w:val="32"/>
          <w:lang w:val="en-US" w:eastAsia="zh-CN"/>
        </w:rPr>
        <w:t xml:space="preserve"> </w:t>
      </w:r>
      <w:r>
        <w:rPr>
          <w:rFonts w:hint="default" w:ascii="Times New Roman" w:hAnsi="Times New Roman" w:eastAsia="方正仿宋_GBK" w:cs="Times New Roman"/>
          <w:sz w:val="32"/>
          <w:szCs w:val="32"/>
        </w:rPr>
        <w:t>全部或部分由政府补助或社会无偿投入形成的固定资产，其折旧原则上不应计入定价成本，但后续支出可以计入定价成本。如政府允许计提折旧筹集更新改造资金的，该部分固定资产折旧可以计入定价成本，但应当在定价成本核定表中单独反映。</w:t>
      </w:r>
    </w:p>
    <w:p>
      <w:pPr>
        <w:keepNext w:val="0"/>
        <w:keepLines w:val="0"/>
        <w:pageBreakBefore w:val="0"/>
        <w:widowControl w:val="0"/>
        <w:kinsoku/>
        <w:wordWrap/>
        <w:overflowPunct/>
        <w:topLinePunct w:val="0"/>
        <w:autoSpaceDE/>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黑体" w:hAnsi="黑体" w:eastAsia="黑体" w:cs="黑体"/>
          <w:b w:val="0"/>
          <w:bCs/>
          <w:sz w:val="32"/>
          <w:szCs w:val="32"/>
        </w:rPr>
        <w:t>第二十一条</w:t>
      </w:r>
      <w:r>
        <w:rPr>
          <w:rFonts w:hint="default" w:ascii="黑体" w:hAnsi="黑体" w:eastAsia="黑体" w:cs="黑体"/>
          <w:b w:val="0"/>
          <w:bCs/>
          <w:sz w:val="32"/>
          <w:szCs w:val="32"/>
          <w:lang w:val="en-US" w:eastAsia="zh-CN"/>
        </w:rPr>
        <w:t xml:space="preserve"> </w:t>
      </w:r>
      <w:r>
        <w:rPr>
          <w:rFonts w:hint="default" w:ascii="Times New Roman" w:hAnsi="Times New Roman" w:eastAsia="方正仿宋_GBK" w:cs="Times New Roman"/>
          <w:b/>
          <w:bCs/>
          <w:sz w:val="32"/>
          <w:szCs w:val="32"/>
          <w:lang w:val="en-US" w:eastAsia="zh-CN"/>
        </w:rPr>
        <w:t xml:space="preserve"> </w:t>
      </w:r>
      <w:r>
        <w:rPr>
          <w:rFonts w:hint="default" w:ascii="Times New Roman" w:hAnsi="Times New Roman" w:eastAsia="方正仿宋_GBK" w:cs="Times New Roman"/>
          <w:sz w:val="32"/>
          <w:szCs w:val="32"/>
        </w:rPr>
        <w:t>无形资产从开始使用之日起，在有效使用期限内分摊计入定价成本年度费用中。其中，土地使用权费已计入地面建筑物价值且无法分离的，随建筑物提取折旧；其他按照土地使用权年限分摊。特许经营权费用原则上不得计入定价成本。如政府明确规定允许特许经营权费用计入定价成本的，有特许经营年限的按照经营年限分摊计入；没有特许经营年限的按30年分摊计入。专利权等其他无形资产，有明确受益年限的按受益年限分摊，未明确受益年限的按不少于10年摊销。</w:t>
      </w:r>
    </w:p>
    <w:p>
      <w:pPr>
        <w:keepNext w:val="0"/>
        <w:keepLines w:val="0"/>
        <w:pageBreakBefore w:val="0"/>
        <w:widowControl w:val="0"/>
        <w:kinsoku/>
        <w:wordWrap/>
        <w:overflowPunct/>
        <w:topLinePunct w:val="0"/>
        <w:autoSpaceDE/>
        <w:bidi w:val="0"/>
        <w:adjustRightInd/>
        <w:snapToGrid/>
        <w:spacing w:line="580" w:lineRule="exact"/>
        <w:ind w:firstLine="640" w:firstLineChars="200"/>
        <w:textAlignment w:val="auto"/>
        <w:rPr>
          <w:rFonts w:hint="default" w:ascii="Times New Roman" w:hAnsi="Times New Roman" w:eastAsia="方正仿宋_GBK" w:cs="Times New Roman"/>
          <w:b/>
          <w:sz w:val="32"/>
          <w:szCs w:val="32"/>
        </w:rPr>
      </w:pPr>
      <w:r>
        <w:rPr>
          <w:rFonts w:hint="default" w:ascii="黑体" w:hAnsi="黑体" w:eastAsia="黑体" w:cs="黑体"/>
          <w:b w:val="0"/>
          <w:bCs/>
          <w:sz w:val="32"/>
          <w:szCs w:val="32"/>
        </w:rPr>
        <w:t>第二十二条</w:t>
      </w:r>
      <w:r>
        <w:rPr>
          <w:rFonts w:hint="default" w:ascii="Times New Roman" w:hAnsi="Times New Roman" w:eastAsia="方正仿宋_GBK" w:cs="Times New Roman"/>
          <w:b/>
          <w:bCs/>
          <w:sz w:val="32"/>
          <w:szCs w:val="32"/>
          <w:lang w:val="en-US" w:eastAsia="zh-CN"/>
        </w:rPr>
        <w:t xml:space="preserve">  </w:t>
      </w:r>
      <w:r>
        <w:rPr>
          <w:rFonts w:hint="default" w:ascii="Times New Roman" w:hAnsi="Times New Roman" w:eastAsia="方正仿宋_GBK" w:cs="Times New Roman"/>
          <w:sz w:val="32"/>
          <w:szCs w:val="32"/>
        </w:rPr>
        <w:t>长期待摊费用中的开办费按不短于3年摊销。</w:t>
      </w:r>
    </w:p>
    <w:p>
      <w:pPr>
        <w:keepNext w:val="0"/>
        <w:keepLines w:val="0"/>
        <w:pageBreakBefore w:val="0"/>
        <w:widowControl w:val="0"/>
        <w:kinsoku/>
        <w:wordWrap/>
        <w:overflowPunct/>
        <w:topLinePunct w:val="0"/>
        <w:autoSpaceDE/>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黑体" w:hAnsi="黑体" w:eastAsia="黑体" w:cs="黑体"/>
          <w:b w:val="0"/>
          <w:bCs/>
          <w:sz w:val="32"/>
          <w:szCs w:val="32"/>
        </w:rPr>
        <w:t>第二十三条</w:t>
      </w:r>
      <w:r>
        <w:rPr>
          <w:rFonts w:hint="default" w:ascii="Times New Roman" w:hAnsi="Times New Roman" w:eastAsia="方正仿宋_GBK" w:cs="Times New Roman"/>
          <w:b/>
          <w:bCs/>
          <w:sz w:val="32"/>
          <w:szCs w:val="32"/>
          <w:lang w:val="en-US" w:eastAsia="zh-CN"/>
        </w:rPr>
        <w:t xml:space="preserve">  </w:t>
      </w:r>
      <w:r>
        <w:rPr>
          <w:rFonts w:hint="default" w:ascii="Times New Roman" w:hAnsi="Times New Roman" w:eastAsia="方正仿宋_GBK" w:cs="Times New Roman"/>
          <w:sz w:val="32"/>
          <w:szCs w:val="32"/>
        </w:rPr>
        <w:t>业务招待费指经营者为开展污水处理业务活动合理需要而支付的费用，按照企业实际发生额的60%计入定价成本，但最高不得超过当年主营业务收入的5‰。</w:t>
      </w:r>
    </w:p>
    <w:p>
      <w:pPr>
        <w:keepNext w:val="0"/>
        <w:keepLines w:val="0"/>
        <w:pageBreakBefore w:val="0"/>
        <w:widowControl w:val="0"/>
        <w:kinsoku/>
        <w:wordWrap/>
        <w:overflowPunct/>
        <w:topLinePunct w:val="0"/>
        <w:autoSpaceDE/>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黑体" w:hAnsi="黑体" w:eastAsia="黑体" w:cs="黑体"/>
          <w:b w:val="0"/>
          <w:bCs/>
          <w:sz w:val="32"/>
          <w:szCs w:val="32"/>
        </w:rPr>
        <w:t>第二十四条</w:t>
      </w:r>
      <w:r>
        <w:rPr>
          <w:rFonts w:hint="default" w:ascii="Times New Roman" w:hAnsi="Times New Roman" w:eastAsia="方正仿宋_GBK" w:cs="Times New Roman"/>
          <w:b/>
          <w:sz w:val="32"/>
          <w:szCs w:val="32"/>
          <w:lang w:val="en-US" w:eastAsia="zh-CN"/>
        </w:rPr>
        <w:t xml:space="preserve">  </w:t>
      </w:r>
      <w:r>
        <w:rPr>
          <w:rFonts w:hint="default" w:ascii="Times New Roman" w:hAnsi="Times New Roman" w:eastAsia="方正仿宋_GBK" w:cs="Times New Roman"/>
          <w:sz w:val="32"/>
          <w:szCs w:val="32"/>
        </w:rPr>
        <w:t>修理费原则上据实核定，但一般不超过期末可计提折旧固定资产原值的2%。符合下列条件之一的固定资产修理，应视为固定资产改良支出：</w:t>
      </w:r>
    </w:p>
    <w:p>
      <w:pPr>
        <w:keepNext w:val="0"/>
        <w:keepLines w:val="0"/>
        <w:pageBreakBefore w:val="0"/>
        <w:widowControl w:val="0"/>
        <w:kinsoku/>
        <w:wordWrap/>
        <w:overflowPunct/>
        <w:topLinePunct w:val="0"/>
        <w:autoSpaceDE/>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（一）一次性发生的维修支出达到该固定资产原值20%（含）以上；</w:t>
      </w:r>
    </w:p>
    <w:p>
      <w:pPr>
        <w:keepNext w:val="0"/>
        <w:keepLines w:val="0"/>
        <w:pageBreakBefore w:val="0"/>
        <w:widowControl w:val="0"/>
        <w:kinsoku/>
        <w:wordWrap/>
        <w:overflowPunct/>
        <w:topLinePunct w:val="0"/>
        <w:autoSpaceDE/>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（二）经过维修后该项固定资产使用寿命延长或生产能力提高；</w:t>
      </w:r>
    </w:p>
    <w:p>
      <w:pPr>
        <w:keepNext w:val="0"/>
        <w:keepLines w:val="0"/>
        <w:pageBreakBefore w:val="0"/>
        <w:widowControl w:val="0"/>
        <w:kinsoku/>
        <w:wordWrap/>
        <w:overflowPunct/>
        <w:topLinePunct w:val="0"/>
        <w:autoSpaceDE/>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（三）经过维修后的固定资产被用于新的或不同的用途。</w:t>
      </w:r>
    </w:p>
    <w:p>
      <w:pPr>
        <w:keepNext w:val="0"/>
        <w:keepLines w:val="0"/>
        <w:pageBreakBefore w:val="0"/>
        <w:widowControl w:val="0"/>
        <w:kinsoku/>
        <w:wordWrap/>
        <w:overflowPunct/>
        <w:topLinePunct w:val="0"/>
        <w:autoSpaceDE/>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黑体" w:hAnsi="黑体" w:eastAsia="黑体" w:cs="黑体"/>
          <w:b w:val="0"/>
          <w:bCs/>
          <w:sz w:val="32"/>
          <w:szCs w:val="32"/>
        </w:rPr>
        <w:t>第二十五条</w:t>
      </w:r>
      <w:r>
        <w:rPr>
          <w:rFonts w:hint="default" w:ascii="Times New Roman" w:hAnsi="Times New Roman" w:eastAsia="方正仿宋_GBK" w:cs="Times New Roman"/>
          <w:b/>
          <w:sz w:val="32"/>
          <w:szCs w:val="32"/>
          <w:lang w:val="en-US" w:eastAsia="zh-CN"/>
        </w:rPr>
        <w:t xml:space="preserve">  </w:t>
      </w:r>
      <w:r>
        <w:rPr>
          <w:rFonts w:hint="default" w:ascii="Times New Roman" w:hAnsi="Times New Roman" w:eastAsia="方正仿宋_GBK" w:cs="Times New Roman"/>
          <w:sz w:val="32"/>
          <w:szCs w:val="32"/>
        </w:rPr>
        <w:t>经营者过度购置固定资产所增加的相关支出不得计入定价成本。具体按下列公式计算。</w:t>
      </w:r>
    </w:p>
    <w:p>
      <w:pPr>
        <w:keepNext w:val="0"/>
        <w:keepLines w:val="0"/>
        <w:pageBreakBefore w:val="0"/>
        <w:widowControl w:val="0"/>
        <w:kinsoku/>
        <w:wordWrap/>
        <w:overflowPunct/>
        <w:topLinePunct w:val="0"/>
        <w:autoSpaceDE/>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核定利息</w:t>
      </w:r>
      <w:r>
        <w:rPr>
          <w:rFonts w:hint="default" w:ascii="Times New Roman" w:hAnsi="Times New Roman" w:eastAsia="方正仿宋_GBK" w:cs="Times New Roman"/>
          <w:sz w:val="32"/>
          <w:szCs w:val="32"/>
          <w:lang w:eastAsia="zh-CN"/>
        </w:rPr>
        <w:t>（折旧费、修理费等）</w:t>
      </w:r>
      <w:r>
        <w:rPr>
          <w:rFonts w:hint="default" w:ascii="Times New Roman" w:hAnsi="Times New Roman" w:eastAsia="方正仿宋_GBK" w:cs="Times New Roman"/>
          <w:sz w:val="32"/>
          <w:szCs w:val="32"/>
        </w:rPr>
        <w:t>支出=本期利息</w:t>
      </w:r>
      <w:r>
        <w:rPr>
          <w:rFonts w:hint="default" w:ascii="Times New Roman" w:hAnsi="Times New Roman" w:eastAsia="方正仿宋_GBK" w:cs="Times New Roman"/>
          <w:sz w:val="32"/>
          <w:szCs w:val="32"/>
          <w:lang w:eastAsia="zh-CN"/>
        </w:rPr>
        <w:t>（折旧费、修理费等）</w:t>
      </w:r>
      <w:r>
        <w:rPr>
          <w:rFonts w:hint="default" w:ascii="Times New Roman" w:hAnsi="Times New Roman" w:eastAsia="方正仿宋_GBK" w:cs="Times New Roman"/>
          <w:sz w:val="32"/>
          <w:szCs w:val="32"/>
        </w:rPr>
        <w:t>支出×负荷冗余调整系数</w:t>
      </w:r>
    </w:p>
    <w:p>
      <w:pPr>
        <w:keepNext w:val="0"/>
        <w:keepLines w:val="0"/>
        <w:pageBreakBefore w:val="0"/>
        <w:widowControl w:val="0"/>
        <w:kinsoku/>
        <w:wordWrap/>
        <w:overflowPunct/>
        <w:topLinePunct w:val="0"/>
        <w:autoSpaceDE/>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黑体" w:hAnsi="黑体" w:eastAsia="黑体" w:cs="黑体"/>
          <w:b w:val="0"/>
          <w:bCs/>
          <w:sz w:val="32"/>
          <w:szCs w:val="32"/>
        </w:rPr>
        <w:t>第二十六条</w:t>
      </w:r>
      <w:r>
        <w:rPr>
          <w:rFonts w:hint="default" w:ascii="Times New Roman" w:hAnsi="Times New Roman" w:eastAsia="方正仿宋_GBK" w:cs="Times New Roman"/>
          <w:b/>
          <w:sz w:val="32"/>
          <w:szCs w:val="32"/>
          <w:lang w:val="en-US" w:eastAsia="zh-CN"/>
        </w:rPr>
        <w:t xml:space="preserve">  </w:t>
      </w:r>
      <w:r>
        <w:rPr>
          <w:rFonts w:hint="default" w:ascii="Times New Roman" w:hAnsi="Times New Roman" w:eastAsia="方正仿宋_GBK" w:cs="Times New Roman"/>
          <w:sz w:val="32"/>
          <w:szCs w:val="32"/>
        </w:rPr>
        <w:t>管理费用中，人员等相关费用按本办法第十四条规定核定；会议费、交通费、差旅费、业务招待费等非生产性费用剔除不合理因素后，按监审期平均值核定。</w:t>
      </w:r>
    </w:p>
    <w:p>
      <w:pPr>
        <w:keepNext w:val="0"/>
        <w:keepLines w:val="0"/>
        <w:pageBreakBefore w:val="0"/>
        <w:widowControl w:val="0"/>
        <w:kinsoku/>
        <w:wordWrap/>
        <w:overflowPunct/>
        <w:topLinePunct w:val="0"/>
        <w:autoSpaceDE/>
        <w:bidi w:val="0"/>
        <w:adjustRightInd/>
        <w:snapToGrid/>
        <w:spacing w:line="580" w:lineRule="exact"/>
        <w:ind w:firstLine="640" w:firstLineChars="200"/>
        <w:textAlignment w:val="auto"/>
        <w:rPr>
          <w:rFonts w:hint="default" w:ascii="Times New Roman" w:hAnsi="Times New Roman" w:eastAsia="方正仿宋_GBK" w:cs="Times New Roman"/>
          <w:bCs/>
          <w:sz w:val="32"/>
          <w:szCs w:val="32"/>
        </w:rPr>
      </w:pPr>
      <w:r>
        <w:rPr>
          <w:rFonts w:hint="default" w:ascii="黑体" w:hAnsi="黑体" w:eastAsia="黑体" w:cs="黑体"/>
          <w:b w:val="0"/>
          <w:bCs/>
          <w:sz w:val="32"/>
          <w:szCs w:val="32"/>
        </w:rPr>
        <w:t>第二十七条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bCs/>
          <w:sz w:val="32"/>
          <w:szCs w:val="32"/>
        </w:rPr>
        <w:t>下列支出不得计入城镇污水处理定价成本：</w:t>
      </w:r>
    </w:p>
    <w:p>
      <w:pPr>
        <w:keepNext w:val="0"/>
        <w:keepLines w:val="0"/>
        <w:pageBreakBefore w:val="0"/>
        <w:widowControl w:val="0"/>
        <w:numPr>
          <w:ilvl w:val="0"/>
          <w:numId w:val="3"/>
        </w:numPr>
        <w:kinsoku/>
        <w:wordWrap/>
        <w:overflowPunct/>
        <w:topLinePunct w:val="0"/>
        <w:autoSpaceDE/>
        <w:bidi w:val="0"/>
        <w:adjustRightInd/>
        <w:snapToGrid/>
        <w:spacing w:line="580" w:lineRule="exact"/>
        <w:ind w:firstLine="640" w:firstLineChars="200"/>
        <w:textAlignment w:val="auto"/>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不符合《中华人民共和国会计法》等有关法律、行政法规，财务制度和国家统一的会计制度，以及价格监管制度等的费用</w:t>
      </w:r>
      <w:r>
        <w:rPr>
          <w:rFonts w:hint="default" w:ascii="Times New Roman" w:hAnsi="Times New Roman" w:eastAsia="方正仿宋_GBK" w:cs="Times New Roman"/>
          <w:bCs/>
          <w:sz w:val="32"/>
          <w:szCs w:val="32"/>
          <w:lang w:eastAsia="zh-CN"/>
        </w:rPr>
        <w:t>；</w:t>
      </w:r>
    </w:p>
    <w:p>
      <w:pPr>
        <w:keepNext w:val="0"/>
        <w:keepLines w:val="0"/>
        <w:pageBreakBefore w:val="0"/>
        <w:widowControl w:val="0"/>
        <w:numPr>
          <w:ilvl w:val="0"/>
          <w:numId w:val="3"/>
        </w:numPr>
        <w:kinsoku/>
        <w:wordWrap/>
        <w:overflowPunct/>
        <w:topLinePunct w:val="0"/>
        <w:autoSpaceDE/>
        <w:bidi w:val="0"/>
        <w:adjustRightInd/>
        <w:snapToGrid/>
        <w:spacing w:line="580" w:lineRule="exact"/>
        <w:ind w:firstLine="640" w:firstLineChars="200"/>
        <w:textAlignment w:val="auto"/>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非持续、非正常生产经营活动发生的费用；</w:t>
      </w:r>
    </w:p>
    <w:p>
      <w:pPr>
        <w:keepNext w:val="0"/>
        <w:keepLines w:val="0"/>
        <w:pageBreakBefore w:val="0"/>
        <w:widowControl w:val="0"/>
        <w:numPr>
          <w:ilvl w:val="0"/>
          <w:numId w:val="3"/>
        </w:numPr>
        <w:kinsoku/>
        <w:wordWrap/>
        <w:overflowPunct/>
        <w:topLinePunct w:val="0"/>
        <w:autoSpaceDE/>
        <w:bidi w:val="0"/>
        <w:adjustRightInd/>
        <w:snapToGrid/>
        <w:spacing w:line="580" w:lineRule="exact"/>
        <w:ind w:firstLine="640" w:firstLineChars="200"/>
        <w:textAlignment w:val="auto"/>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与城镇污水处理无关的支出；</w:t>
      </w:r>
    </w:p>
    <w:p>
      <w:pPr>
        <w:keepNext w:val="0"/>
        <w:keepLines w:val="0"/>
        <w:pageBreakBefore w:val="0"/>
        <w:widowControl w:val="0"/>
        <w:numPr>
          <w:ilvl w:val="0"/>
          <w:numId w:val="3"/>
        </w:numPr>
        <w:kinsoku/>
        <w:wordWrap/>
        <w:overflowPunct/>
        <w:topLinePunct w:val="0"/>
        <w:autoSpaceDE/>
        <w:bidi w:val="0"/>
        <w:adjustRightInd/>
        <w:snapToGrid/>
        <w:spacing w:line="580" w:lineRule="exact"/>
        <w:ind w:firstLine="640" w:firstLineChars="200"/>
        <w:textAlignment w:val="auto"/>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与污水处理生产经营活动有关，但有专项资金来源予以补偿的费用</w:t>
      </w:r>
      <w:r>
        <w:rPr>
          <w:rFonts w:hint="default" w:ascii="Times New Roman" w:hAnsi="Times New Roman" w:eastAsia="方正仿宋_GBK" w:cs="Times New Roman"/>
          <w:bCs/>
          <w:sz w:val="32"/>
          <w:szCs w:val="32"/>
          <w:lang w:eastAsia="zh-CN"/>
        </w:rPr>
        <w:t>；</w:t>
      </w:r>
    </w:p>
    <w:p>
      <w:pPr>
        <w:keepNext w:val="0"/>
        <w:keepLines w:val="0"/>
        <w:pageBreakBefore w:val="0"/>
        <w:widowControl w:val="0"/>
        <w:numPr>
          <w:ilvl w:val="0"/>
          <w:numId w:val="3"/>
        </w:numPr>
        <w:kinsoku/>
        <w:wordWrap/>
        <w:overflowPunct/>
        <w:topLinePunct w:val="0"/>
        <w:autoSpaceDE/>
        <w:bidi w:val="0"/>
        <w:adjustRightInd/>
        <w:snapToGrid/>
        <w:spacing w:line="580" w:lineRule="exact"/>
        <w:ind w:firstLine="640" w:firstLineChars="200"/>
        <w:textAlignment w:val="auto"/>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固定资产盘亏、毁损、闲置、出售和报废的净损失；</w:t>
      </w:r>
    </w:p>
    <w:p>
      <w:pPr>
        <w:keepNext w:val="0"/>
        <w:keepLines w:val="0"/>
        <w:pageBreakBefore w:val="0"/>
        <w:widowControl w:val="0"/>
        <w:numPr>
          <w:ilvl w:val="0"/>
          <w:numId w:val="3"/>
        </w:numPr>
        <w:kinsoku/>
        <w:wordWrap/>
        <w:overflowPunct/>
        <w:topLinePunct w:val="0"/>
        <w:autoSpaceDE/>
        <w:bidi w:val="0"/>
        <w:adjustRightInd/>
        <w:snapToGrid/>
        <w:spacing w:line="580" w:lineRule="exact"/>
        <w:ind w:firstLine="640" w:firstLineChars="200"/>
        <w:textAlignment w:val="auto"/>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各类捐赠、赞助、滞纳金、违约金、罚款，以及计提的准备金</w:t>
      </w:r>
      <w:r>
        <w:rPr>
          <w:rFonts w:hint="default" w:ascii="Times New Roman" w:hAnsi="Times New Roman" w:eastAsia="方正仿宋_GBK" w:cs="Times New Roman"/>
          <w:bCs/>
          <w:sz w:val="32"/>
          <w:szCs w:val="32"/>
          <w:lang w:eastAsia="zh-CN"/>
        </w:rPr>
        <w:t>；</w:t>
      </w:r>
    </w:p>
    <w:p>
      <w:pPr>
        <w:keepNext w:val="0"/>
        <w:keepLines w:val="0"/>
        <w:pageBreakBefore w:val="0"/>
        <w:widowControl w:val="0"/>
        <w:numPr>
          <w:ilvl w:val="0"/>
          <w:numId w:val="3"/>
        </w:numPr>
        <w:kinsoku/>
        <w:wordWrap/>
        <w:overflowPunct/>
        <w:topLinePunct w:val="0"/>
        <w:autoSpaceDE/>
        <w:bidi w:val="0"/>
        <w:adjustRightInd/>
        <w:snapToGrid/>
        <w:spacing w:line="580" w:lineRule="exact"/>
        <w:ind w:firstLine="640" w:firstLineChars="200"/>
        <w:textAlignment w:val="auto"/>
        <w:rPr>
          <w:rFonts w:hint="default" w:ascii="Times New Roman" w:hAnsi="Times New Roman" w:eastAsia="方正仿宋_GBK" w:cs="Times New Roman"/>
          <w:bCs/>
          <w:sz w:val="32"/>
          <w:szCs w:val="32"/>
        </w:rPr>
      </w:pPr>
      <w:r>
        <w:rPr>
          <w:rFonts w:hint="default" w:ascii="Times New Roman" w:hAnsi="Times New Roman" w:eastAsia="方正仿宋_GBK" w:cs="Times New Roman"/>
          <w:sz w:val="32"/>
          <w:szCs w:val="32"/>
        </w:rPr>
        <w:t>公益广告、公益宣传费用，以及垄断性行业的各类广告费；</w:t>
      </w:r>
    </w:p>
    <w:p>
      <w:pPr>
        <w:keepNext w:val="0"/>
        <w:keepLines w:val="0"/>
        <w:pageBreakBefore w:val="0"/>
        <w:widowControl w:val="0"/>
        <w:numPr>
          <w:ilvl w:val="0"/>
          <w:numId w:val="3"/>
        </w:numPr>
        <w:kinsoku/>
        <w:wordWrap/>
        <w:overflowPunct/>
        <w:topLinePunct w:val="0"/>
        <w:autoSpaceDE/>
        <w:bidi w:val="0"/>
        <w:adjustRightInd/>
        <w:snapToGrid/>
        <w:spacing w:line="580" w:lineRule="exact"/>
        <w:ind w:firstLine="640" w:firstLineChars="200"/>
        <w:textAlignment w:val="auto"/>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经营者</w:t>
      </w:r>
      <w:r>
        <w:rPr>
          <w:rFonts w:hint="default" w:ascii="Times New Roman" w:hAnsi="Times New Roman" w:eastAsia="方正仿宋_GBK" w:cs="Times New Roman"/>
          <w:sz w:val="32"/>
          <w:szCs w:val="32"/>
        </w:rPr>
        <w:t>过度购置固定资产所增加的支出（折旧费、</w:t>
      </w:r>
      <w:r>
        <w:rPr>
          <w:rFonts w:hint="default" w:ascii="Times New Roman" w:hAnsi="Times New Roman" w:eastAsia="方正仿宋_GBK" w:cs="Times New Roman"/>
          <w:sz w:val="32"/>
          <w:szCs w:val="32"/>
          <w:lang w:eastAsia="zh-CN"/>
        </w:rPr>
        <w:t>修理费、</w:t>
      </w:r>
      <w:r>
        <w:rPr>
          <w:rFonts w:hint="default" w:ascii="Times New Roman" w:hAnsi="Times New Roman" w:eastAsia="方正仿宋_GBK" w:cs="Times New Roman"/>
          <w:sz w:val="32"/>
          <w:szCs w:val="32"/>
        </w:rPr>
        <w:t>借款利息等）；</w:t>
      </w:r>
    </w:p>
    <w:p>
      <w:pPr>
        <w:keepNext w:val="0"/>
        <w:keepLines w:val="0"/>
        <w:pageBreakBefore w:val="0"/>
        <w:widowControl w:val="0"/>
        <w:numPr>
          <w:ilvl w:val="0"/>
          <w:numId w:val="3"/>
        </w:numPr>
        <w:kinsoku/>
        <w:wordWrap/>
        <w:overflowPunct/>
        <w:topLinePunct w:val="0"/>
        <w:autoSpaceDE/>
        <w:bidi w:val="0"/>
        <w:adjustRightInd/>
        <w:snapToGrid/>
        <w:spacing w:line="580" w:lineRule="exact"/>
        <w:ind w:firstLine="640" w:firstLineChars="200"/>
        <w:textAlignment w:val="auto"/>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向上级单位或管理部门上交的利润性质的管理费用、代上级单位或管理部门缴纳的各项费用、向出资人支付的利润分成以及对附属单位的补助支出等；</w:t>
      </w:r>
    </w:p>
    <w:p>
      <w:pPr>
        <w:keepNext w:val="0"/>
        <w:keepLines w:val="0"/>
        <w:pageBreakBefore w:val="0"/>
        <w:widowControl w:val="0"/>
        <w:numPr>
          <w:ilvl w:val="0"/>
          <w:numId w:val="3"/>
        </w:numPr>
        <w:kinsoku/>
        <w:wordWrap/>
        <w:overflowPunct/>
        <w:topLinePunct w:val="0"/>
        <w:autoSpaceDE/>
        <w:bidi w:val="0"/>
        <w:adjustRightInd/>
        <w:snapToGrid/>
        <w:spacing w:line="580" w:lineRule="exact"/>
        <w:ind w:firstLine="640" w:firstLineChars="200"/>
        <w:textAlignment w:val="auto"/>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超标排污缴纳的排污费；</w:t>
      </w:r>
    </w:p>
    <w:p>
      <w:pPr>
        <w:keepNext w:val="0"/>
        <w:keepLines w:val="0"/>
        <w:pageBreakBefore w:val="0"/>
        <w:widowControl w:val="0"/>
        <w:numPr>
          <w:ilvl w:val="0"/>
          <w:numId w:val="3"/>
        </w:numPr>
        <w:kinsoku/>
        <w:wordWrap/>
        <w:overflowPunct/>
        <w:topLinePunct w:val="0"/>
        <w:autoSpaceDE/>
        <w:bidi w:val="0"/>
        <w:adjustRightInd/>
        <w:snapToGrid/>
        <w:spacing w:line="580" w:lineRule="exact"/>
        <w:ind w:firstLine="640" w:firstLineChars="200"/>
        <w:textAlignment w:val="auto"/>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其他不合理支出。</w:t>
      </w:r>
    </w:p>
    <w:p>
      <w:pPr>
        <w:keepNext w:val="0"/>
        <w:keepLines w:val="0"/>
        <w:pageBreakBefore w:val="0"/>
        <w:widowControl w:val="0"/>
        <w:kinsoku/>
        <w:wordWrap/>
        <w:overflowPunct/>
        <w:topLinePunct w:val="0"/>
        <w:autoSpaceDE/>
        <w:bidi w:val="0"/>
        <w:adjustRightInd/>
        <w:snapToGrid/>
        <w:spacing w:line="540" w:lineRule="exact"/>
        <w:ind w:firstLine="640" w:firstLineChars="200"/>
        <w:textAlignment w:val="auto"/>
        <w:rPr>
          <w:rFonts w:hint="default" w:ascii="Times New Roman" w:hAnsi="Times New Roman" w:eastAsia="方正仿宋_GBK" w:cs="Times New Roman"/>
          <w:bCs/>
          <w:sz w:val="32"/>
          <w:szCs w:val="32"/>
        </w:rPr>
      </w:pPr>
      <w:r>
        <w:rPr>
          <w:rFonts w:hint="default" w:ascii="黑体" w:hAnsi="黑体" w:eastAsia="黑体" w:cs="黑体"/>
          <w:b w:val="0"/>
          <w:bCs/>
          <w:sz w:val="32"/>
          <w:szCs w:val="32"/>
        </w:rPr>
        <w:t>第二十八条</w:t>
      </w:r>
      <w:r>
        <w:rPr>
          <w:rFonts w:hint="default" w:ascii="Times New Roman" w:hAnsi="Times New Roman" w:eastAsia="方正仿宋_GBK" w:cs="Times New Roman"/>
          <w:b/>
          <w:bCs/>
          <w:sz w:val="32"/>
          <w:szCs w:val="32"/>
          <w:lang w:val="en-US" w:eastAsia="zh-CN"/>
        </w:rPr>
        <w:t xml:space="preserve">  </w:t>
      </w:r>
      <w:r>
        <w:rPr>
          <w:rFonts w:hint="default" w:ascii="Times New Roman" w:hAnsi="Times New Roman" w:eastAsia="方正仿宋_GBK" w:cs="Times New Roman"/>
          <w:bCs/>
          <w:sz w:val="32"/>
          <w:szCs w:val="32"/>
        </w:rPr>
        <w:t>污泥处理处置费用要区分不同处置方式</w:t>
      </w:r>
      <w:r>
        <w:rPr>
          <w:rFonts w:hint="default" w:ascii="Times New Roman" w:hAnsi="Times New Roman" w:eastAsia="方正仿宋_GBK" w:cs="Times New Roman"/>
          <w:bCs/>
          <w:sz w:val="32"/>
          <w:szCs w:val="32"/>
          <w:lang w:eastAsia="zh-CN"/>
        </w:rPr>
        <w:t>据实</w:t>
      </w:r>
      <w:r>
        <w:rPr>
          <w:rFonts w:hint="default" w:ascii="Times New Roman" w:hAnsi="Times New Roman" w:eastAsia="方正仿宋_GBK" w:cs="Times New Roman"/>
          <w:bCs/>
          <w:sz w:val="32"/>
          <w:szCs w:val="32"/>
        </w:rPr>
        <w:t>进行核定；委托第三方进行处理的，委托价格明显高于市场公允价格</w:t>
      </w:r>
      <w:r>
        <w:rPr>
          <w:rFonts w:hint="default" w:ascii="Times New Roman" w:hAnsi="Times New Roman" w:eastAsia="方正仿宋_GBK" w:cs="Times New Roman"/>
          <w:bCs/>
          <w:sz w:val="32"/>
          <w:szCs w:val="32"/>
          <w:lang w:eastAsia="zh-CN"/>
        </w:rPr>
        <w:t>的，超出市场公允价格部分</w:t>
      </w:r>
      <w:r>
        <w:rPr>
          <w:rFonts w:hint="default" w:ascii="Times New Roman" w:hAnsi="Times New Roman" w:eastAsia="方正仿宋_GBK" w:cs="Times New Roman"/>
          <w:bCs/>
          <w:sz w:val="32"/>
          <w:szCs w:val="32"/>
        </w:rPr>
        <w:t>不得计入污泥处理处置费用。</w:t>
      </w:r>
    </w:p>
    <w:p>
      <w:pPr>
        <w:keepNext w:val="0"/>
        <w:keepLines w:val="0"/>
        <w:pageBreakBefore w:val="0"/>
        <w:widowControl w:val="0"/>
        <w:kinsoku/>
        <w:wordWrap/>
        <w:overflowPunct/>
        <w:topLinePunct w:val="0"/>
        <w:autoSpaceDE/>
        <w:bidi w:val="0"/>
        <w:adjustRightInd/>
        <w:snapToGrid/>
        <w:spacing w:line="540" w:lineRule="exact"/>
        <w:ind w:firstLine="640" w:firstLineChars="200"/>
        <w:textAlignment w:val="auto"/>
        <w:rPr>
          <w:rFonts w:hint="default" w:ascii="Times New Roman" w:hAnsi="Times New Roman" w:eastAsia="方正仿宋_GBK" w:cs="Times New Roman"/>
          <w:sz w:val="32"/>
          <w:szCs w:val="32"/>
        </w:rPr>
      </w:pPr>
      <w:r>
        <w:rPr>
          <w:rFonts w:hint="default" w:ascii="黑体" w:hAnsi="黑体" w:eastAsia="黑体" w:cs="黑体"/>
          <w:b w:val="0"/>
          <w:bCs/>
          <w:sz w:val="32"/>
          <w:szCs w:val="32"/>
        </w:rPr>
        <w:t>第二十九条</w:t>
      </w:r>
      <w:r>
        <w:rPr>
          <w:rFonts w:hint="default" w:ascii="Times New Roman" w:hAnsi="Times New Roman" w:eastAsia="方正仿宋_GBK" w:cs="Times New Roman"/>
          <w:b/>
          <w:bCs/>
          <w:sz w:val="32"/>
          <w:szCs w:val="32"/>
          <w:lang w:val="en-US" w:eastAsia="zh-CN"/>
        </w:rPr>
        <w:t xml:space="preserve">  </w:t>
      </w:r>
      <w:r>
        <w:rPr>
          <w:rFonts w:hint="default" w:ascii="Times New Roman" w:hAnsi="Times New Roman" w:eastAsia="方正仿宋_GBK" w:cs="Times New Roman"/>
          <w:sz w:val="32"/>
          <w:szCs w:val="32"/>
        </w:rPr>
        <w:t>污水处理企业同时开展污水收集和输送管网建设运营等其他业务的，应单独列示污水收集和输送管网建设运营业务有关成本，可采用收入比、直接人员数量比、资产比等方法分摊相关成本。</w:t>
      </w:r>
    </w:p>
    <w:p>
      <w:pPr>
        <w:keepNext w:val="0"/>
        <w:keepLines w:val="0"/>
        <w:pageBreakBefore w:val="0"/>
        <w:widowControl w:val="0"/>
        <w:kinsoku/>
        <w:wordWrap/>
        <w:overflowPunct/>
        <w:topLinePunct w:val="0"/>
        <w:autoSpaceDE/>
        <w:bidi w:val="0"/>
        <w:adjustRightInd/>
        <w:snapToGrid/>
        <w:spacing w:line="540" w:lineRule="exact"/>
        <w:ind w:firstLine="640" w:firstLineChars="200"/>
        <w:textAlignment w:val="auto"/>
        <w:rPr>
          <w:rFonts w:hint="default" w:ascii="Times New Roman" w:hAnsi="Times New Roman" w:eastAsia="方正仿宋_GBK" w:cs="Times New Roman"/>
          <w:bCs/>
          <w:sz w:val="32"/>
          <w:szCs w:val="32"/>
        </w:rPr>
      </w:pPr>
      <w:r>
        <w:rPr>
          <w:rFonts w:hint="default" w:ascii="黑体" w:hAnsi="黑体" w:eastAsia="黑体" w:cs="黑体"/>
          <w:b w:val="0"/>
          <w:bCs/>
          <w:sz w:val="32"/>
          <w:szCs w:val="32"/>
        </w:rPr>
        <w:t>第三十条</w:t>
      </w:r>
      <w:r>
        <w:rPr>
          <w:rFonts w:hint="default" w:ascii="Times New Roman" w:hAnsi="Times New Roman" w:eastAsia="方正仿宋_GBK" w:cs="Times New Roman"/>
          <w:b/>
          <w:bCs/>
          <w:sz w:val="32"/>
          <w:szCs w:val="32"/>
          <w:lang w:val="en-US" w:eastAsia="zh-CN"/>
        </w:rPr>
        <w:t xml:space="preserve">  </w:t>
      </w:r>
      <w:r>
        <w:rPr>
          <w:rFonts w:hint="default" w:ascii="Times New Roman" w:hAnsi="Times New Roman" w:eastAsia="方正仿宋_GBK" w:cs="Times New Roman"/>
          <w:sz w:val="32"/>
          <w:szCs w:val="32"/>
        </w:rPr>
        <w:t>城镇污水处理经营者的</w:t>
      </w:r>
      <w:r>
        <w:rPr>
          <w:rFonts w:hint="default" w:ascii="Times New Roman" w:hAnsi="Times New Roman" w:eastAsia="方正仿宋_GBK" w:cs="Times New Roman"/>
          <w:bCs/>
          <w:sz w:val="32"/>
          <w:szCs w:val="32"/>
        </w:rPr>
        <w:t>其他业务成本应单独核算，不计入污水处理定价成本。</w:t>
      </w:r>
      <w:r>
        <w:rPr>
          <w:rFonts w:hint="default" w:ascii="Times New Roman" w:hAnsi="Times New Roman" w:eastAsia="方正仿宋_GBK" w:cs="Times New Roman"/>
          <w:sz w:val="32"/>
          <w:szCs w:val="32"/>
        </w:rPr>
        <w:t>其他业务与污水处理共同使用资产、人员或者统一支付费用，或者依托污水处理从事生产经营活动等，以及因从事主营业务而获得政府优惠政策的，应当按照其他业务收入净值（指其他业务收入扣除其他业务直接费用后的余额）占经营者总收入的比例冲减总成本；其他业务收入净值为负值的，直接将其他业务支出冲减总成本。</w:t>
      </w:r>
    </w:p>
    <w:p>
      <w:pPr>
        <w:keepNext w:val="0"/>
        <w:keepLines w:val="0"/>
        <w:pageBreakBefore w:val="0"/>
        <w:widowControl w:val="0"/>
        <w:kinsoku/>
        <w:wordWrap/>
        <w:overflowPunct/>
        <w:topLinePunct w:val="0"/>
        <w:autoSpaceDE/>
        <w:bidi w:val="0"/>
        <w:adjustRightInd/>
        <w:snapToGrid/>
        <w:spacing w:line="540" w:lineRule="exact"/>
        <w:ind w:firstLine="640" w:firstLineChars="200"/>
        <w:textAlignment w:val="auto"/>
        <w:rPr>
          <w:rFonts w:hint="default" w:ascii="Times New Roman" w:hAnsi="Times New Roman" w:eastAsia="方正仿宋_GBK" w:cs="Times New Roman"/>
          <w:bCs/>
          <w:sz w:val="32"/>
          <w:szCs w:val="32"/>
        </w:rPr>
      </w:pPr>
      <w:r>
        <w:rPr>
          <w:rFonts w:hint="default" w:ascii="黑体" w:hAnsi="黑体" w:eastAsia="黑体" w:cs="黑体"/>
          <w:b w:val="0"/>
          <w:bCs/>
          <w:sz w:val="32"/>
          <w:szCs w:val="32"/>
        </w:rPr>
        <w:t>第三十一条</w:t>
      </w:r>
      <w:r>
        <w:rPr>
          <w:rFonts w:hint="default" w:ascii="黑体" w:hAnsi="黑体" w:eastAsia="黑体" w:cs="黑体"/>
          <w:b w:val="0"/>
          <w:bCs/>
          <w:sz w:val="32"/>
          <w:szCs w:val="32"/>
          <w:lang w:val="en-US" w:eastAsia="zh-CN"/>
        </w:rPr>
        <w:t xml:space="preserve"> </w:t>
      </w:r>
      <w:r>
        <w:rPr>
          <w:rFonts w:hint="default" w:ascii="Times New Roman" w:hAnsi="Times New Roman" w:eastAsia="方正仿宋_GBK" w:cs="Times New Roman"/>
          <w:b/>
          <w:bCs/>
          <w:sz w:val="32"/>
          <w:szCs w:val="32"/>
          <w:lang w:val="en-US" w:eastAsia="zh-CN"/>
        </w:rPr>
        <w:t xml:space="preserve"> </w:t>
      </w:r>
      <w:r>
        <w:rPr>
          <w:rFonts w:hint="default" w:ascii="Times New Roman" w:hAnsi="Times New Roman" w:eastAsia="方正仿宋_GBK" w:cs="Times New Roman"/>
          <w:sz w:val="32"/>
          <w:szCs w:val="32"/>
        </w:rPr>
        <w:t>本办法未具体规定审核标准的其他成本费用，</w:t>
      </w:r>
      <w:r>
        <w:rPr>
          <w:rFonts w:hint="default" w:ascii="Times New Roman" w:hAnsi="Times New Roman" w:eastAsia="方正仿宋_GBK" w:cs="Times New Roman"/>
          <w:bCs/>
          <w:sz w:val="32"/>
          <w:szCs w:val="32"/>
        </w:rPr>
        <w:t>有关法律法规和政策已明确规定核算原则和标准的，按照相关规定审核，没有明确规定的，原则上据实核定，但应当符合公允水平。</w:t>
      </w:r>
    </w:p>
    <w:p>
      <w:pPr>
        <w:keepNext w:val="0"/>
        <w:keepLines w:val="0"/>
        <w:pageBreakBefore w:val="0"/>
        <w:widowControl w:val="0"/>
        <w:kinsoku/>
        <w:wordWrap/>
        <w:overflowPunct/>
        <w:topLinePunct w:val="0"/>
        <w:autoSpaceDE/>
        <w:bidi w:val="0"/>
        <w:adjustRightInd/>
        <w:snapToGrid/>
        <w:spacing w:line="540" w:lineRule="exact"/>
        <w:ind w:firstLine="640" w:firstLineChars="200"/>
        <w:textAlignment w:val="auto"/>
        <w:rPr>
          <w:rFonts w:hint="default" w:ascii="Times New Roman" w:hAnsi="Times New Roman" w:eastAsia="方正仿宋_GBK" w:cs="Times New Roman"/>
          <w:sz w:val="32"/>
          <w:szCs w:val="32"/>
        </w:rPr>
      </w:pPr>
      <w:r>
        <w:rPr>
          <w:rFonts w:hint="default" w:ascii="黑体" w:hAnsi="黑体" w:eastAsia="黑体" w:cs="黑体"/>
          <w:b w:val="0"/>
          <w:bCs/>
          <w:sz w:val="32"/>
          <w:szCs w:val="32"/>
        </w:rPr>
        <w:t>第三十二条</w:t>
      </w:r>
      <w:r>
        <w:rPr>
          <w:rFonts w:hint="default" w:ascii="黑体" w:hAnsi="黑体" w:eastAsia="黑体" w:cs="黑体"/>
          <w:b w:val="0"/>
          <w:bCs/>
          <w:sz w:val="32"/>
          <w:szCs w:val="32"/>
          <w:lang w:val="en-US" w:eastAsia="zh-CN"/>
        </w:rPr>
        <w:t xml:space="preserve"> </w:t>
      </w:r>
      <w:r>
        <w:rPr>
          <w:rFonts w:hint="default" w:ascii="Times New Roman" w:hAnsi="Times New Roman" w:eastAsia="方正仿宋_GBK" w:cs="Times New Roman"/>
          <w:b/>
          <w:bCs/>
          <w:sz w:val="32"/>
          <w:szCs w:val="32"/>
          <w:lang w:val="en-US" w:eastAsia="zh-CN"/>
        </w:rPr>
        <w:t xml:space="preserve"> </w:t>
      </w:r>
      <w:r>
        <w:rPr>
          <w:rFonts w:hint="default" w:ascii="Times New Roman" w:hAnsi="Times New Roman" w:eastAsia="方正仿宋_GBK" w:cs="Times New Roman"/>
          <w:sz w:val="32"/>
          <w:szCs w:val="32"/>
        </w:rPr>
        <w:t>污水处理定价总成本和单位成本的核算：</w:t>
      </w:r>
    </w:p>
    <w:p>
      <w:pPr>
        <w:keepNext w:val="0"/>
        <w:keepLines w:val="0"/>
        <w:pageBreakBefore w:val="0"/>
        <w:widowControl w:val="0"/>
        <w:kinsoku/>
        <w:wordWrap/>
        <w:overflowPunct/>
        <w:topLinePunct w:val="0"/>
        <w:autoSpaceDE/>
        <w:bidi w:val="0"/>
        <w:adjustRightInd/>
        <w:snapToGrid/>
        <w:spacing w:line="54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污水处理定价总成本＝污水处理</w:t>
      </w:r>
      <w:r>
        <w:rPr>
          <w:rFonts w:hint="default" w:ascii="Times New Roman" w:hAnsi="Times New Roman" w:eastAsia="方正仿宋_GBK" w:cs="Times New Roman"/>
          <w:sz w:val="32"/>
          <w:szCs w:val="32"/>
          <w:lang w:eastAsia="zh-CN"/>
        </w:rPr>
        <w:t>生产</w:t>
      </w:r>
      <w:r>
        <w:rPr>
          <w:rFonts w:hint="default" w:ascii="Times New Roman" w:hAnsi="Times New Roman" w:eastAsia="方正仿宋_GBK" w:cs="Times New Roman"/>
          <w:sz w:val="32"/>
          <w:szCs w:val="32"/>
        </w:rPr>
        <w:t>成本+污泥处理处置成本</w:t>
      </w:r>
      <w:r>
        <w:rPr>
          <w:rFonts w:hint="default" w:ascii="Times New Roman" w:hAnsi="Times New Roman" w:eastAsia="方正仿宋_GBK" w:cs="Times New Roman"/>
          <w:sz w:val="32"/>
          <w:szCs w:val="32"/>
          <w:lang w:val="en-US" w:eastAsia="zh-CN"/>
        </w:rPr>
        <w:t>+期间费用+税金</w:t>
      </w:r>
    </w:p>
    <w:p>
      <w:pPr>
        <w:keepNext w:val="0"/>
        <w:keepLines w:val="0"/>
        <w:pageBreakBefore w:val="0"/>
        <w:widowControl w:val="0"/>
        <w:kinsoku/>
        <w:wordWrap/>
        <w:overflowPunct/>
        <w:topLinePunct w:val="0"/>
        <w:autoSpaceDE/>
        <w:autoSpaceDN w:val="0"/>
        <w:bidi w:val="0"/>
        <w:adjustRightInd/>
        <w:snapToGrid/>
        <w:spacing w:line="540" w:lineRule="exact"/>
        <w:ind w:firstLine="6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污水处理定价单位成本＝污水处理定价总成本÷核定年度污水处理总量</w:t>
      </w:r>
    </w:p>
    <w:p>
      <w:pPr>
        <w:keepNext w:val="0"/>
        <w:keepLines w:val="0"/>
        <w:pageBreakBefore w:val="0"/>
        <w:widowControl w:val="0"/>
        <w:kinsoku/>
        <w:wordWrap/>
        <w:overflowPunct/>
        <w:topLinePunct w:val="0"/>
        <w:autoSpaceDE/>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p>
    <w:p>
      <w:pPr>
        <w:jc w:val="center"/>
        <w:rPr>
          <w:rFonts w:hint="default" w:ascii="宋体" w:hAnsi="宋体" w:eastAsia="黑体"/>
          <w:sz w:val="32"/>
          <w:szCs w:val="32"/>
        </w:rPr>
      </w:pPr>
      <w:r>
        <w:rPr>
          <w:rFonts w:hint="default" w:ascii="宋体" w:hAnsi="宋体" w:eastAsia="黑体"/>
          <w:sz w:val="32"/>
          <w:szCs w:val="32"/>
        </w:rPr>
        <w:t>第四章  附</w:t>
      </w:r>
      <w:r>
        <w:rPr>
          <w:rFonts w:hint="eastAsia" w:ascii="宋体" w:hAnsi="宋体" w:eastAsia="黑体"/>
          <w:sz w:val="32"/>
          <w:szCs w:val="32"/>
          <w:lang w:val="en-US" w:eastAsia="zh-CN"/>
        </w:rPr>
        <w:t xml:space="preserve"> </w:t>
      </w:r>
      <w:r>
        <w:rPr>
          <w:rFonts w:hint="default" w:ascii="宋体" w:hAnsi="宋体" w:eastAsia="黑体"/>
          <w:sz w:val="32"/>
          <w:szCs w:val="32"/>
        </w:rPr>
        <w:t xml:space="preserve"> 则</w:t>
      </w:r>
    </w:p>
    <w:p>
      <w:pPr>
        <w:keepNext w:val="0"/>
        <w:keepLines w:val="0"/>
        <w:pageBreakBefore w:val="0"/>
        <w:widowControl w:val="0"/>
        <w:kinsoku/>
        <w:wordWrap/>
        <w:overflowPunct/>
        <w:topLinePunct w:val="0"/>
        <w:autoSpaceDE/>
        <w:bidi w:val="0"/>
        <w:adjustRightInd/>
        <w:snapToGrid/>
        <w:spacing w:line="580" w:lineRule="exact"/>
        <w:ind w:firstLine="640" w:firstLineChars="200"/>
        <w:jc w:val="center"/>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bidi w:val="0"/>
        <w:adjustRightInd/>
        <w:snapToGrid/>
        <w:spacing w:line="580" w:lineRule="exact"/>
        <w:ind w:firstLine="640"/>
        <w:textAlignment w:val="auto"/>
        <w:rPr>
          <w:rFonts w:hint="default" w:ascii="Times New Roman" w:hAnsi="Times New Roman" w:eastAsia="方正仿宋_GBK" w:cs="Times New Roman"/>
          <w:bCs/>
          <w:sz w:val="32"/>
          <w:szCs w:val="32"/>
        </w:rPr>
      </w:pPr>
      <w:r>
        <w:rPr>
          <w:rFonts w:hint="default" w:ascii="黑体" w:hAnsi="黑体" w:eastAsia="黑体" w:cs="黑体"/>
          <w:b w:val="0"/>
          <w:bCs/>
          <w:sz w:val="32"/>
          <w:szCs w:val="32"/>
        </w:rPr>
        <w:t xml:space="preserve">第三十三条 </w:t>
      </w:r>
      <w:r>
        <w:rPr>
          <w:rFonts w:hint="default" w:ascii="Times New Roman" w:hAnsi="Times New Roman" w:eastAsia="方正仿宋_GBK" w:cs="Times New Roman"/>
          <w:b/>
          <w:sz w:val="32"/>
          <w:szCs w:val="32"/>
        </w:rPr>
        <w:t xml:space="preserve"> </w:t>
      </w:r>
      <w:r>
        <w:rPr>
          <w:rFonts w:hint="default" w:ascii="Times New Roman" w:hAnsi="Times New Roman" w:eastAsia="方正仿宋_GBK" w:cs="Times New Roman"/>
          <w:bCs/>
          <w:sz w:val="32"/>
          <w:szCs w:val="32"/>
        </w:rPr>
        <w:t>成本监审报告中需将政府购买污水处理服务支付的资金、财政补贴、补助资金，由政府补贴或社会无偿投入的资产折旧，特许经营企业缴纳的特许经营权费用，污水处理厂规模、运营模式、污泥处置工</w:t>
      </w:r>
      <w:r>
        <w:rPr>
          <w:rFonts w:hint="default" w:ascii="Times New Roman" w:hAnsi="Times New Roman" w:eastAsia="方正仿宋_GBK" w:cs="Times New Roman"/>
          <w:bCs/>
          <w:sz w:val="32"/>
          <w:szCs w:val="32"/>
          <w:lang w:eastAsia="zh-CN"/>
        </w:rPr>
        <w:t>艺</w:t>
      </w:r>
      <w:r>
        <w:rPr>
          <w:rFonts w:hint="default" w:ascii="Times New Roman" w:hAnsi="Times New Roman" w:eastAsia="方正仿宋_GBK" w:cs="Times New Roman"/>
          <w:bCs/>
          <w:sz w:val="32"/>
          <w:szCs w:val="32"/>
        </w:rPr>
        <w:t>和排放标准</w:t>
      </w:r>
      <w:r>
        <w:rPr>
          <w:rFonts w:hint="default" w:ascii="Times New Roman" w:hAnsi="Times New Roman" w:eastAsia="方正仿宋_GBK" w:cs="Times New Roman"/>
          <w:bCs/>
          <w:sz w:val="32"/>
          <w:szCs w:val="32"/>
          <w:lang w:eastAsia="zh-CN"/>
        </w:rPr>
        <w:t>以及</w:t>
      </w:r>
      <w:r>
        <w:rPr>
          <w:rFonts w:hint="default" w:ascii="Times New Roman" w:hAnsi="Times New Roman" w:eastAsia="方正仿宋_GBK" w:cs="Times New Roman"/>
          <w:sz w:val="32"/>
          <w:szCs w:val="32"/>
        </w:rPr>
        <w:t>污水收集管网折旧及运行维护成本</w:t>
      </w:r>
      <w:r>
        <w:rPr>
          <w:rFonts w:hint="default" w:ascii="Times New Roman" w:hAnsi="Times New Roman" w:eastAsia="方正仿宋_GBK" w:cs="Times New Roman"/>
          <w:bCs/>
          <w:sz w:val="32"/>
          <w:szCs w:val="32"/>
        </w:rPr>
        <w:t>等情况单独列示说明。</w:t>
      </w:r>
    </w:p>
    <w:p>
      <w:pPr>
        <w:keepNext w:val="0"/>
        <w:keepLines w:val="0"/>
        <w:pageBreakBefore w:val="0"/>
        <w:widowControl w:val="0"/>
        <w:kinsoku/>
        <w:wordWrap/>
        <w:overflowPunct/>
        <w:topLinePunct w:val="0"/>
        <w:autoSpaceDE/>
        <w:bidi w:val="0"/>
        <w:adjustRightInd/>
        <w:snapToGrid/>
        <w:spacing w:line="580" w:lineRule="exact"/>
        <w:ind w:firstLine="640"/>
        <w:textAlignment w:val="auto"/>
        <w:rPr>
          <w:rFonts w:hint="default" w:ascii="Times New Roman" w:hAnsi="Times New Roman" w:eastAsia="方正仿宋_GBK" w:cs="Times New Roman"/>
          <w:sz w:val="32"/>
          <w:szCs w:val="32"/>
        </w:rPr>
      </w:pPr>
      <w:r>
        <w:rPr>
          <w:rFonts w:hint="default" w:ascii="黑体" w:hAnsi="黑体" w:eastAsia="黑体" w:cs="黑体"/>
          <w:b w:val="0"/>
          <w:bCs/>
          <w:sz w:val="32"/>
          <w:szCs w:val="32"/>
        </w:rPr>
        <w:t>第三十四条</w:t>
      </w:r>
      <w:r>
        <w:rPr>
          <w:rFonts w:hint="default" w:ascii="黑体" w:hAnsi="黑体" w:eastAsia="黑体" w:cs="黑体"/>
          <w:b w:val="0"/>
          <w:bCs/>
          <w:sz w:val="32"/>
          <w:szCs w:val="32"/>
          <w:lang w:val="en-US" w:eastAsia="zh-CN"/>
        </w:rPr>
        <w:t xml:space="preserve"> </w:t>
      </w:r>
      <w:r>
        <w:rPr>
          <w:rFonts w:hint="default" w:ascii="Times New Roman" w:hAnsi="Times New Roman" w:eastAsia="方正仿宋_GBK" w:cs="Times New Roman"/>
          <w:b/>
          <w:sz w:val="32"/>
          <w:szCs w:val="32"/>
          <w:lang w:val="en-US" w:eastAsia="zh-CN"/>
        </w:rPr>
        <w:t xml:space="preserve"> </w:t>
      </w:r>
      <w:r>
        <w:rPr>
          <w:rFonts w:hint="default" w:ascii="Times New Roman" w:hAnsi="Times New Roman" w:eastAsia="方正仿宋_GBK" w:cs="Times New Roman"/>
          <w:sz w:val="32"/>
          <w:szCs w:val="32"/>
        </w:rPr>
        <w:t>本办法由内蒙古自治区发展和改革委员会负责解释。</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lang w:val="en-US" w:eastAsia="zh-CN"/>
        </w:rPr>
        <w:t xml:space="preserve">   </w:t>
      </w:r>
      <w:r>
        <w:rPr>
          <w:rFonts w:hint="default" w:ascii="黑体" w:hAnsi="黑体" w:eastAsia="黑体" w:cs="黑体"/>
          <w:b w:val="0"/>
          <w:bCs/>
          <w:sz w:val="32"/>
          <w:szCs w:val="32"/>
          <w:lang w:val="en-US" w:eastAsia="zh-CN"/>
        </w:rPr>
        <w:t xml:space="preserve"> </w:t>
      </w:r>
      <w:r>
        <w:rPr>
          <w:rFonts w:hint="default" w:ascii="黑体" w:hAnsi="黑体" w:eastAsia="黑体" w:cs="黑体"/>
          <w:b w:val="0"/>
          <w:bCs/>
          <w:sz w:val="32"/>
          <w:szCs w:val="32"/>
        </w:rPr>
        <w:t>第三十五条</w:t>
      </w:r>
      <w:r>
        <w:rPr>
          <w:rFonts w:hint="default" w:ascii="Times New Roman" w:hAnsi="Times New Roman" w:eastAsia="方正仿宋_GBK" w:cs="Times New Roman"/>
          <w:b/>
          <w:sz w:val="32"/>
          <w:szCs w:val="32"/>
          <w:lang w:val="en-US" w:eastAsia="zh-CN"/>
        </w:rPr>
        <w:t xml:space="preserve">  </w:t>
      </w:r>
      <w:r>
        <w:rPr>
          <w:rFonts w:hint="default" w:ascii="Times New Roman" w:hAnsi="Times New Roman" w:eastAsia="方正仿宋_GBK" w:cs="Times New Roman"/>
          <w:sz w:val="32"/>
          <w:szCs w:val="32"/>
        </w:rPr>
        <w:t>本办法自202</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年</w:t>
      </w: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月</w:t>
      </w:r>
      <w:r>
        <w:rPr>
          <w:rFonts w:hint="eastAsia" w:ascii="Times New Roman" w:hAnsi="Times New Roman" w:eastAsia="方正仿宋_GBK" w:cs="Times New Roman"/>
          <w:sz w:val="32"/>
          <w:szCs w:val="32"/>
          <w:lang w:val="en-US" w:eastAsia="zh-CN"/>
        </w:rPr>
        <w:t>23</w:t>
      </w:r>
      <w:r>
        <w:rPr>
          <w:rFonts w:hint="default" w:ascii="Times New Roman" w:hAnsi="Times New Roman" w:eastAsia="方正仿宋_GBK" w:cs="Times New Roman"/>
          <w:sz w:val="32"/>
          <w:szCs w:val="32"/>
        </w:rPr>
        <w:t>日起施行。2018年2月2日印发的《内蒙古自治区城</w:t>
      </w:r>
      <w:r>
        <w:rPr>
          <w:rFonts w:hint="default" w:ascii="Times New Roman" w:hAnsi="Times New Roman" w:eastAsia="方正仿宋_GBK" w:cs="Times New Roman"/>
          <w:sz w:val="32"/>
          <w:szCs w:val="32"/>
          <w:lang w:eastAsia="zh-CN"/>
        </w:rPr>
        <w:t>市</w:t>
      </w:r>
      <w:r>
        <w:rPr>
          <w:rFonts w:hint="default" w:ascii="Times New Roman" w:hAnsi="Times New Roman" w:eastAsia="方正仿宋_GBK" w:cs="Times New Roman"/>
          <w:sz w:val="32"/>
          <w:szCs w:val="32"/>
        </w:rPr>
        <w:t>污水处理定价成本监审办法》（内发改价字〔2018〕132号）同时废止。</w:t>
      </w:r>
    </w:p>
    <w:p>
      <w:pPr>
        <w:spacing w:line="580" w:lineRule="exact"/>
        <w:ind w:firstLine="640" w:firstLineChars="200"/>
        <w:rPr>
          <w:rFonts w:ascii="仿宋_GB2312" w:hAnsi="仿宋" w:eastAsia="仿宋_GB2312"/>
          <w:sz w:val="32"/>
          <w:szCs w:val="32"/>
        </w:rPr>
      </w:pPr>
    </w:p>
    <w:p>
      <w:pPr>
        <w:pStyle w:val="5"/>
        <w:spacing w:line="580" w:lineRule="exact"/>
        <w:jc w:val="both"/>
        <w:rPr>
          <w:rFonts w:ascii="方正黑体_GBK" w:hAnsi="方正黑体_GBK" w:eastAsia="方正黑体_GBK" w:cs="方正黑体_GBK"/>
          <w:bCs/>
          <w:szCs w:val="32"/>
        </w:rPr>
      </w:pPr>
    </w:p>
    <w:p>
      <w:pPr>
        <w:pStyle w:val="5"/>
        <w:spacing w:line="580" w:lineRule="exact"/>
        <w:jc w:val="both"/>
        <w:rPr>
          <w:rFonts w:ascii="仿宋" w:hAnsi="仿宋" w:eastAsia="仿宋"/>
          <w:bCs/>
          <w:szCs w:val="32"/>
        </w:rPr>
      </w:pPr>
      <w:r>
        <w:rPr>
          <w:rFonts w:hint="eastAsia" w:ascii="方正黑体_GBK" w:hAnsi="方正黑体_GBK" w:eastAsia="方正黑体_GBK" w:cs="方正黑体_GBK"/>
          <w:bCs/>
          <w:szCs w:val="32"/>
        </w:rPr>
        <w:t>附表：</w:t>
      </w:r>
    </w:p>
    <w:p>
      <w:pPr>
        <w:pStyle w:val="5"/>
        <w:spacing w:line="580" w:lineRule="exact"/>
        <w:rPr>
          <w:rFonts w:ascii="方正小标宋_GBK" w:hAnsi="方正小标宋_GBK" w:eastAsia="方正小标宋_GBK" w:cs="方正小标宋_GBK"/>
          <w:bCs/>
          <w:sz w:val="44"/>
        </w:rPr>
      </w:pPr>
      <w:r>
        <w:rPr>
          <w:rFonts w:hint="eastAsia" w:ascii="方正小标宋_GBK" w:hAnsi="方正小标宋_GBK" w:eastAsia="方正小标宋_GBK" w:cs="方正小标宋_GBK"/>
          <w:bCs/>
          <w:sz w:val="44"/>
        </w:rPr>
        <w:t>固定资产定价折旧年限表</w:t>
      </w:r>
    </w:p>
    <w:p>
      <w:pPr>
        <w:pStyle w:val="5"/>
        <w:keepNext w:val="0"/>
        <w:keepLines w:val="0"/>
        <w:pageBreakBefore w:val="0"/>
        <w:widowControl w:val="0"/>
        <w:kinsoku/>
        <w:wordWrap/>
        <w:overflowPunct/>
        <w:topLinePunct w:val="0"/>
        <w:autoSpaceDE/>
        <w:autoSpaceDN/>
        <w:bidi w:val="0"/>
        <w:adjustRightInd/>
        <w:snapToGrid/>
        <w:spacing w:line="460" w:lineRule="exact"/>
        <w:ind w:firstLine="360" w:firstLineChars="200"/>
        <w:textAlignment w:val="auto"/>
        <w:rPr>
          <w:rFonts w:ascii="方正小标宋_GBK" w:hAnsi="方正小标宋_GBK" w:eastAsia="方正小标宋_GBK" w:cs="方正小标宋_GBK"/>
          <w:bCs/>
          <w:sz w:val="18"/>
          <w:szCs w:val="18"/>
        </w:rPr>
      </w:pPr>
    </w:p>
    <w:tbl>
      <w:tblPr>
        <w:tblStyle w:val="6"/>
        <w:tblW w:w="931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016"/>
        <w:gridCol w:w="1774"/>
        <w:gridCol w:w="45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3016" w:type="dxa"/>
            <w:noWrap/>
            <w:vAlign w:val="center"/>
          </w:tcPr>
          <w:p>
            <w:pPr>
              <w:widowControl/>
              <w:adjustRightInd w:val="0"/>
              <w:snapToGrid w:val="0"/>
              <w:spacing w:line="300" w:lineRule="exact"/>
              <w:jc w:val="center"/>
              <w:rPr>
                <w:rFonts w:ascii="宋体" w:hAnsi="宋体" w:cs="宋体"/>
                <w:b/>
                <w:bCs/>
                <w:snapToGrid w:val="0"/>
                <w:spacing w:val="-6"/>
                <w:kern w:val="0"/>
                <w:sz w:val="24"/>
              </w:rPr>
            </w:pPr>
            <w:r>
              <w:rPr>
                <w:rFonts w:hint="eastAsia" w:ascii="宋体" w:hAnsi="宋体" w:cs="宋体"/>
                <w:b/>
                <w:bCs/>
                <w:snapToGrid w:val="0"/>
                <w:spacing w:val="-6"/>
                <w:kern w:val="0"/>
                <w:sz w:val="24"/>
              </w:rPr>
              <w:t>固定资产类别</w:t>
            </w:r>
          </w:p>
        </w:tc>
        <w:tc>
          <w:tcPr>
            <w:tcW w:w="1774" w:type="dxa"/>
            <w:noWrap/>
            <w:vAlign w:val="center"/>
          </w:tcPr>
          <w:p>
            <w:pPr>
              <w:widowControl/>
              <w:adjustRightInd w:val="0"/>
              <w:snapToGrid w:val="0"/>
              <w:spacing w:line="300" w:lineRule="exact"/>
              <w:jc w:val="center"/>
              <w:rPr>
                <w:rFonts w:ascii="宋体" w:hAnsi="宋体" w:cs="宋体"/>
                <w:b/>
                <w:bCs/>
                <w:snapToGrid w:val="0"/>
                <w:spacing w:val="-6"/>
                <w:kern w:val="0"/>
                <w:sz w:val="24"/>
              </w:rPr>
            </w:pPr>
            <w:r>
              <w:rPr>
                <w:rFonts w:hint="eastAsia" w:ascii="宋体" w:hAnsi="宋体" w:cs="宋体"/>
                <w:b/>
                <w:bCs/>
                <w:snapToGrid w:val="0"/>
                <w:spacing w:val="-6"/>
                <w:kern w:val="0"/>
                <w:sz w:val="24"/>
              </w:rPr>
              <w:t>定价折旧年限</w:t>
            </w:r>
          </w:p>
        </w:tc>
        <w:tc>
          <w:tcPr>
            <w:tcW w:w="4527" w:type="dxa"/>
            <w:noWrap/>
            <w:vAlign w:val="top"/>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cs="宋体"/>
                <w:b/>
                <w:bCs/>
                <w:snapToGrid w:val="0"/>
                <w:spacing w:val="-6"/>
                <w:kern w:val="0"/>
                <w:sz w:val="24"/>
              </w:rPr>
            </w:pPr>
            <w:r>
              <w:rPr>
                <w:rFonts w:hint="eastAsia" w:ascii="宋体" w:hAnsi="宋体" w:cs="宋体"/>
                <w:b/>
                <w:bCs/>
                <w:snapToGrid w:val="0"/>
                <w:spacing w:val="-6"/>
                <w:kern w:val="0"/>
                <w:sz w:val="24"/>
              </w:rPr>
              <w:t>备 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jc w:val="center"/>
        </w:trPr>
        <w:tc>
          <w:tcPr>
            <w:tcW w:w="3016" w:type="dxa"/>
            <w:noWrap/>
            <w:vAlign w:val="center"/>
          </w:tcPr>
          <w:p>
            <w:pPr>
              <w:widowControl/>
              <w:adjustRightInd w:val="0"/>
              <w:snapToGrid w:val="0"/>
              <w:spacing w:line="300" w:lineRule="exact"/>
              <w:rPr>
                <w:rFonts w:ascii="CESI仿宋-GB2312" w:hAnsi="CESI仿宋-GB2312" w:eastAsia="CESI仿宋-GB2312" w:cs="CESI仿宋-GB2312"/>
                <w:snapToGrid w:val="0"/>
                <w:spacing w:val="-6"/>
                <w:kern w:val="0"/>
                <w:szCs w:val="21"/>
              </w:rPr>
            </w:pPr>
            <w:r>
              <w:rPr>
                <w:rFonts w:hint="eastAsia" w:ascii="CESI仿宋-GB2312" w:hAnsi="CESI仿宋-GB2312" w:eastAsia="CESI仿宋-GB2312" w:cs="CESI仿宋-GB2312"/>
                <w:b/>
                <w:bCs/>
                <w:snapToGrid w:val="0"/>
                <w:spacing w:val="-6"/>
                <w:kern w:val="0"/>
                <w:szCs w:val="21"/>
              </w:rPr>
              <w:t>一、房屋构筑物</w:t>
            </w:r>
          </w:p>
        </w:tc>
        <w:tc>
          <w:tcPr>
            <w:tcW w:w="1774" w:type="dxa"/>
            <w:noWrap/>
            <w:vAlign w:val="center"/>
          </w:tcPr>
          <w:p>
            <w:pPr>
              <w:widowControl/>
              <w:adjustRightInd w:val="0"/>
              <w:snapToGrid w:val="0"/>
              <w:spacing w:line="300" w:lineRule="exact"/>
              <w:rPr>
                <w:rFonts w:ascii="CESI仿宋-GB2312" w:hAnsi="CESI仿宋-GB2312" w:eastAsia="CESI仿宋-GB2312" w:cs="CESI仿宋-GB2312"/>
                <w:snapToGrid w:val="0"/>
                <w:color w:val="FF0000"/>
                <w:spacing w:val="-6"/>
                <w:kern w:val="0"/>
                <w:szCs w:val="21"/>
              </w:rPr>
            </w:pPr>
          </w:p>
        </w:tc>
        <w:tc>
          <w:tcPr>
            <w:tcW w:w="4527" w:type="dxa"/>
            <w:noWrap/>
            <w:vAlign w:val="center"/>
          </w:tcPr>
          <w:p>
            <w:pPr>
              <w:widowControl/>
              <w:adjustRightInd w:val="0"/>
              <w:snapToGrid w:val="0"/>
              <w:spacing w:line="300" w:lineRule="exact"/>
              <w:jc w:val="left"/>
              <w:rPr>
                <w:rFonts w:ascii="CESI仿宋-GB2312" w:hAnsi="CESI仿宋-GB2312" w:eastAsia="CESI仿宋-GB2312" w:cs="CESI仿宋-GB2312"/>
                <w:snapToGrid w:val="0"/>
                <w:color w:val="FF0000"/>
                <w:spacing w:val="-6"/>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jc w:val="center"/>
        </w:trPr>
        <w:tc>
          <w:tcPr>
            <w:tcW w:w="3016" w:type="dxa"/>
            <w:noWrap/>
            <w:vAlign w:val="center"/>
          </w:tcPr>
          <w:p>
            <w:pPr>
              <w:widowControl/>
              <w:numPr>
                <w:ilvl w:val="0"/>
                <w:numId w:val="4"/>
              </w:numPr>
              <w:adjustRightInd w:val="0"/>
              <w:snapToGrid w:val="0"/>
              <w:spacing w:line="300" w:lineRule="exact"/>
              <w:ind w:firstLine="220"/>
              <w:rPr>
                <w:rFonts w:ascii="CESI仿宋-GB2312" w:hAnsi="CESI仿宋-GB2312" w:eastAsia="CESI仿宋-GB2312" w:cs="CESI仿宋-GB2312"/>
                <w:snapToGrid w:val="0"/>
                <w:spacing w:val="-6"/>
                <w:kern w:val="0"/>
                <w:szCs w:val="21"/>
              </w:rPr>
            </w:pPr>
            <w:r>
              <w:rPr>
                <w:rFonts w:hint="eastAsia" w:ascii="CESI仿宋-GB2312" w:hAnsi="CESI仿宋-GB2312" w:eastAsia="CESI仿宋-GB2312" w:cs="CESI仿宋-GB2312"/>
                <w:snapToGrid w:val="0"/>
                <w:spacing w:val="-6"/>
                <w:kern w:val="0"/>
                <w:szCs w:val="21"/>
              </w:rPr>
              <w:t>房屋</w:t>
            </w:r>
          </w:p>
        </w:tc>
        <w:tc>
          <w:tcPr>
            <w:tcW w:w="1774" w:type="dxa"/>
            <w:noWrap/>
            <w:vAlign w:val="center"/>
          </w:tcPr>
          <w:p>
            <w:pPr>
              <w:widowControl/>
              <w:adjustRightInd w:val="0"/>
              <w:snapToGrid w:val="0"/>
              <w:spacing w:line="300" w:lineRule="exact"/>
              <w:rPr>
                <w:rFonts w:ascii="CESI仿宋-GB2312" w:hAnsi="CESI仿宋-GB2312" w:eastAsia="CESI仿宋-GB2312" w:cs="CESI仿宋-GB2312"/>
                <w:snapToGrid w:val="0"/>
                <w:spacing w:val="-6"/>
                <w:kern w:val="0"/>
                <w:szCs w:val="21"/>
              </w:rPr>
            </w:pPr>
          </w:p>
        </w:tc>
        <w:tc>
          <w:tcPr>
            <w:tcW w:w="4527" w:type="dxa"/>
            <w:noWrap/>
            <w:vAlign w:val="center"/>
          </w:tcPr>
          <w:p>
            <w:pPr>
              <w:widowControl/>
              <w:adjustRightInd w:val="0"/>
              <w:snapToGrid w:val="0"/>
              <w:spacing w:line="300" w:lineRule="exact"/>
              <w:jc w:val="left"/>
              <w:rPr>
                <w:rFonts w:ascii="CESI仿宋-GB2312" w:hAnsi="CESI仿宋-GB2312" w:eastAsia="CESI仿宋-GB2312" w:cs="CESI仿宋-GB2312"/>
                <w:snapToGrid w:val="0"/>
                <w:spacing w:val="-6"/>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jc w:val="center"/>
        </w:trPr>
        <w:tc>
          <w:tcPr>
            <w:tcW w:w="3016" w:type="dxa"/>
            <w:noWrap/>
            <w:vAlign w:val="center"/>
          </w:tcPr>
          <w:p>
            <w:pPr>
              <w:widowControl/>
              <w:adjustRightInd w:val="0"/>
              <w:snapToGrid w:val="0"/>
              <w:spacing w:line="300" w:lineRule="exact"/>
              <w:rPr>
                <w:rFonts w:ascii="CESI仿宋-GB2312" w:hAnsi="CESI仿宋-GB2312" w:eastAsia="CESI仿宋-GB2312" w:cs="CESI仿宋-GB2312"/>
                <w:snapToGrid w:val="0"/>
                <w:spacing w:val="-6"/>
                <w:kern w:val="0"/>
                <w:szCs w:val="21"/>
              </w:rPr>
            </w:pPr>
            <w:r>
              <w:rPr>
                <w:rFonts w:hint="eastAsia" w:ascii="CESI仿宋-GB2312" w:hAnsi="CESI仿宋-GB2312" w:eastAsia="CESI仿宋-GB2312" w:cs="CESI仿宋-GB2312"/>
                <w:snapToGrid w:val="0"/>
                <w:spacing w:val="-6"/>
                <w:kern w:val="0"/>
                <w:szCs w:val="21"/>
              </w:rPr>
              <w:t xml:space="preserve">    生产用房</w:t>
            </w:r>
          </w:p>
        </w:tc>
        <w:tc>
          <w:tcPr>
            <w:tcW w:w="1774" w:type="dxa"/>
            <w:noWrap/>
            <w:vAlign w:val="center"/>
          </w:tcPr>
          <w:p>
            <w:pPr>
              <w:widowControl/>
              <w:adjustRightInd w:val="0"/>
              <w:snapToGrid w:val="0"/>
              <w:spacing w:line="300" w:lineRule="exact"/>
              <w:jc w:val="center"/>
              <w:rPr>
                <w:rFonts w:ascii="CESI仿宋-GB2312" w:hAnsi="CESI仿宋-GB2312" w:eastAsia="CESI仿宋-GB2312" w:cs="CESI仿宋-GB2312"/>
                <w:snapToGrid w:val="0"/>
                <w:spacing w:val="-6"/>
                <w:kern w:val="0"/>
                <w:szCs w:val="21"/>
              </w:rPr>
            </w:pPr>
            <w:r>
              <w:rPr>
                <w:rFonts w:hint="eastAsia" w:ascii="CESI仿宋-GB2312" w:hAnsi="CESI仿宋-GB2312" w:eastAsia="CESI仿宋-GB2312" w:cs="CESI仿宋-GB2312"/>
                <w:snapToGrid w:val="0"/>
                <w:spacing w:val="-6"/>
                <w:kern w:val="0"/>
                <w:szCs w:val="21"/>
              </w:rPr>
              <w:t>20年</w:t>
            </w:r>
          </w:p>
        </w:tc>
        <w:tc>
          <w:tcPr>
            <w:tcW w:w="4527" w:type="dxa"/>
            <w:noWrap/>
            <w:vAlign w:val="center"/>
          </w:tcPr>
          <w:p>
            <w:pPr>
              <w:widowControl/>
              <w:adjustRightInd w:val="0"/>
              <w:snapToGrid w:val="0"/>
              <w:spacing w:line="300" w:lineRule="exact"/>
              <w:jc w:val="left"/>
              <w:rPr>
                <w:rFonts w:ascii="CESI仿宋-GB2312" w:hAnsi="CESI仿宋-GB2312" w:eastAsia="CESI仿宋-GB2312" w:cs="CESI仿宋-GB2312"/>
                <w:snapToGrid w:val="0"/>
                <w:spacing w:val="-6"/>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jc w:val="center"/>
        </w:trPr>
        <w:tc>
          <w:tcPr>
            <w:tcW w:w="3016" w:type="dxa"/>
            <w:noWrap/>
            <w:vAlign w:val="center"/>
          </w:tcPr>
          <w:p>
            <w:pPr>
              <w:widowControl/>
              <w:adjustRightInd w:val="0"/>
              <w:snapToGrid w:val="0"/>
              <w:spacing w:line="300" w:lineRule="exact"/>
              <w:ind w:firstLine="396" w:firstLineChars="200"/>
              <w:rPr>
                <w:rFonts w:ascii="CESI仿宋-GB2312" w:hAnsi="CESI仿宋-GB2312" w:eastAsia="CESI仿宋-GB2312" w:cs="CESI仿宋-GB2312"/>
                <w:snapToGrid w:val="0"/>
                <w:spacing w:val="-6"/>
                <w:kern w:val="0"/>
                <w:szCs w:val="21"/>
              </w:rPr>
            </w:pPr>
            <w:r>
              <w:rPr>
                <w:rFonts w:hint="eastAsia" w:ascii="CESI仿宋-GB2312" w:hAnsi="CESI仿宋-GB2312" w:eastAsia="CESI仿宋-GB2312" w:cs="CESI仿宋-GB2312"/>
                <w:snapToGrid w:val="0"/>
                <w:spacing w:val="-6"/>
                <w:kern w:val="0"/>
                <w:szCs w:val="21"/>
              </w:rPr>
              <w:t>非生产用房</w:t>
            </w:r>
          </w:p>
        </w:tc>
        <w:tc>
          <w:tcPr>
            <w:tcW w:w="1774" w:type="dxa"/>
            <w:noWrap/>
            <w:vAlign w:val="center"/>
          </w:tcPr>
          <w:p>
            <w:pPr>
              <w:widowControl/>
              <w:adjustRightInd w:val="0"/>
              <w:snapToGrid w:val="0"/>
              <w:spacing w:line="300" w:lineRule="exact"/>
              <w:jc w:val="center"/>
              <w:rPr>
                <w:rFonts w:ascii="CESI仿宋-GB2312" w:hAnsi="CESI仿宋-GB2312" w:eastAsia="CESI仿宋-GB2312" w:cs="CESI仿宋-GB2312"/>
                <w:snapToGrid w:val="0"/>
                <w:spacing w:val="-6"/>
                <w:kern w:val="0"/>
                <w:szCs w:val="21"/>
              </w:rPr>
            </w:pPr>
            <w:r>
              <w:rPr>
                <w:rFonts w:hint="eastAsia" w:ascii="CESI仿宋-GB2312" w:hAnsi="CESI仿宋-GB2312" w:eastAsia="CESI仿宋-GB2312" w:cs="CESI仿宋-GB2312"/>
                <w:snapToGrid w:val="0"/>
                <w:spacing w:val="-6"/>
                <w:kern w:val="0"/>
                <w:szCs w:val="21"/>
              </w:rPr>
              <w:t>40年</w:t>
            </w:r>
          </w:p>
        </w:tc>
        <w:tc>
          <w:tcPr>
            <w:tcW w:w="4527" w:type="dxa"/>
            <w:noWrap/>
            <w:vAlign w:val="center"/>
          </w:tcPr>
          <w:p>
            <w:pPr>
              <w:widowControl/>
              <w:adjustRightInd w:val="0"/>
              <w:snapToGrid w:val="0"/>
              <w:spacing w:line="300" w:lineRule="exact"/>
              <w:jc w:val="left"/>
              <w:rPr>
                <w:rFonts w:ascii="CESI仿宋-GB2312" w:hAnsi="CESI仿宋-GB2312" w:eastAsia="CESI仿宋-GB2312" w:cs="CESI仿宋-GB2312"/>
                <w:snapToGrid w:val="0"/>
                <w:spacing w:val="-6"/>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jc w:val="center"/>
        </w:trPr>
        <w:tc>
          <w:tcPr>
            <w:tcW w:w="3016" w:type="dxa"/>
            <w:noWrap/>
            <w:vAlign w:val="center"/>
          </w:tcPr>
          <w:p>
            <w:pPr>
              <w:widowControl/>
              <w:adjustRightInd w:val="0"/>
              <w:snapToGrid w:val="0"/>
              <w:spacing w:line="300" w:lineRule="exact"/>
              <w:ind w:firstLine="220"/>
              <w:rPr>
                <w:rFonts w:ascii="CESI仿宋-GB2312" w:hAnsi="CESI仿宋-GB2312" w:eastAsia="CESI仿宋-GB2312" w:cs="CESI仿宋-GB2312"/>
                <w:snapToGrid w:val="0"/>
                <w:spacing w:val="-6"/>
                <w:kern w:val="0"/>
                <w:szCs w:val="21"/>
              </w:rPr>
            </w:pPr>
            <w:r>
              <w:rPr>
                <w:rFonts w:hint="eastAsia" w:ascii="CESI仿宋-GB2312" w:hAnsi="CESI仿宋-GB2312" w:eastAsia="CESI仿宋-GB2312" w:cs="CESI仿宋-GB2312"/>
                <w:snapToGrid w:val="0"/>
                <w:spacing w:val="-6"/>
                <w:kern w:val="0"/>
                <w:szCs w:val="21"/>
              </w:rPr>
              <w:t>2、简易房</w:t>
            </w:r>
          </w:p>
        </w:tc>
        <w:tc>
          <w:tcPr>
            <w:tcW w:w="1774" w:type="dxa"/>
            <w:noWrap/>
            <w:vAlign w:val="center"/>
          </w:tcPr>
          <w:p>
            <w:pPr>
              <w:widowControl/>
              <w:adjustRightInd w:val="0"/>
              <w:snapToGrid w:val="0"/>
              <w:spacing w:line="300" w:lineRule="exact"/>
              <w:jc w:val="center"/>
              <w:rPr>
                <w:rFonts w:ascii="CESI仿宋-GB2312" w:hAnsi="CESI仿宋-GB2312" w:eastAsia="CESI仿宋-GB2312" w:cs="CESI仿宋-GB2312"/>
                <w:snapToGrid w:val="0"/>
                <w:spacing w:val="-6"/>
                <w:kern w:val="0"/>
                <w:szCs w:val="21"/>
              </w:rPr>
            </w:pPr>
            <w:r>
              <w:rPr>
                <w:rFonts w:hint="eastAsia" w:ascii="CESI仿宋-GB2312" w:hAnsi="CESI仿宋-GB2312" w:eastAsia="CESI仿宋-GB2312" w:cs="CESI仿宋-GB2312"/>
                <w:snapToGrid w:val="0"/>
                <w:spacing w:val="-6"/>
                <w:kern w:val="0"/>
                <w:szCs w:val="21"/>
              </w:rPr>
              <w:t>8年</w:t>
            </w:r>
          </w:p>
        </w:tc>
        <w:tc>
          <w:tcPr>
            <w:tcW w:w="4527" w:type="dxa"/>
            <w:noWrap/>
            <w:vAlign w:val="center"/>
          </w:tcPr>
          <w:p>
            <w:pPr>
              <w:widowControl/>
              <w:adjustRightInd w:val="0"/>
              <w:snapToGrid w:val="0"/>
              <w:spacing w:line="300" w:lineRule="exact"/>
              <w:jc w:val="left"/>
              <w:rPr>
                <w:rFonts w:ascii="CESI仿宋-GB2312" w:hAnsi="CESI仿宋-GB2312" w:eastAsia="CESI仿宋-GB2312" w:cs="CESI仿宋-GB2312"/>
                <w:snapToGrid w:val="0"/>
                <w:spacing w:val="-6"/>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jc w:val="center"/>
        </w:trPr>
        <w:tc>
          <w:tcPr>
            <w:tcW w:w="3016" w:type="dxa"/>
            <w:noWrap/>
            <w:vAlign w:val="center"/>
          </w:tcPr>
          <w:p>
            <w:pPr>
              <w:widowControl/>
              <w:adjustRightInd w:val="0"/>
              <w:snapToGrid w:val="0"/>
              <w:spacing w:line="300" w:lineRule="exact"/>
              <w:ind w:firstLine="220"/>
              <w:rPr>
                <w:rFonts w:ascii="CESI仿宋-GB2312" w:hAnsi="CESI仿宋-GB2312" w:eastAsia="CESI仿宋-GB2312" w:cs="CESI仿宋-GB2312"/>
                <w:snapToGrid w:val="0"/>
                <w:spacing w:val="-6"/>
                <w:kern w:val="0"/>
                <w:szCs w:val="21"/>
              </w:rPr>
            </w:pPr>
            <w:r>
              <w:rPr>
                <w:rFonts w:hint="eastAsia" w:ascii="CESI仿宋-GB2312" w:hAnsi="CESI仿宋-GB2312" w:eastAsia="CESI仿宋-GB2312" w:cs="CESI仿宋-GB2312"/>
                <w:snapToGrid w:val="0"/>
                <w:spacing w:val="-6"/>
                <w:kern w:val="0"/>
                <w:szCs w:val="21"/>
              </w:rPr>
              <w:t>3、房屋附属设备</w:t>
            </w:r>
          </w:p>
        </w:tc>
        <w:tc>
          <w:tcPr>
            <w:tcW w:w="1774" w:type="dxa"/>
            <w:noWrap/>
            <w:vAlign w:val="center"/>
          </w:tcPr>
          <w:p>
            <w:pPr>
              <w:widowControl/>
              <w:adjustRightInd w:val="0"/>
              <w:snapToGrid w:val="0"/>
              <w:spacing w:line="300" w:lineRule="exact"/>
              <w:jc w:val="center"/>
              <w:rPr>
                <w:rFonts w:ascii="CESI仿宋-GB2312" w:hAnsi="CESI仿宋-GB2312" w:eastAsia="CESI仿宋-GB2312" w:cs="CESI仿宋-GB2312"/>
                <w:snapToGrid w:val="0"/>
                <w:spacing w:val="-6"/>
                <w:kern w:val="0"/>
                <w:szCs w:val="21"/>
              </w:rPr>
            </w:pPr>
            <w:r>
              <w:rPr>
                <w:rFonts w:hint="eastAsia" w:ascii="CESI仿宋-GB2312" w:hAnsi="CESI仿宋-GB2312" w:eastAsia="CESI仿宋-GB2312" w:cs="CESI仿宋-GB2312"/>
                <w:snapToGrid w:val="0"/>
                <w:spacing w:val="-6"/>
                <w:kern w:val="0"/>
                <w:szCs w:val="21"/>
              </w:rPr>
              <w:t>8年</w:t>
            </w:r>
          </w:p>
        </w:tc>
        <w:tc>
          <w:tcPr>
            <w:tcW w:w="4527" w:type="dxa"/>
            <w:noWrap/>
            <w:vAlign w:val="center"/>
          </w:tcPr>
          <w:p>
            <w:pPr>
              <w:widowControl/>
              <w:adjustRightInd w:val="0"/>
              <w:snapToGrid w:val="0"/>
              <w:spacing w:line="300" w:lineRule="exact"/>
              <w:jc w:val="left"/>
              <w:rPr>
                <w:rFonts w:ascii="CESI仿宋-GB2312" w:hAnsi="CESI仿宋-GB2312" w:eastAsia="CESI仿宋-GB2312" w:cs="CESI仿宋-GB2312"/>
                <w:snapToGrid w:val="0"/>
                <w:spacing w:val="-6"/>
                <w:kern w:val="0"/>
                <w:szCs w:val="21"/>
              </w:rPr>
            </w:pPr>
            <w:r>
              <w:rPr>
                <w:rFonts w:hint="eastAsia" w:ascii="CESI仿宋-GB2312" w:hAnsi="CESI仿宋-GB2312" w:eastAsia="CESI仿宋-GB2312" w:cs="CESI仿宋-GB2312"/>
                <w:snapToGrid w:val="0"/>
                <w:spacing w:val="-6"/>
                <w:kern w:val="0"/>
                <w:szCs w:val="21"/>
              </w:rPr>
              <w:t>围墙等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jc w:val="center"/>
        </w:trPr>
        <w:tc>
          <w:tcPr>
            <w:tcW w:w="3016" w:type="dxa"/>
            <w:noWrap/>
            <w:vAlign w:val="center"/>
          </w:tcPr>
          <w:p>
            <w:pPr>
              <w:widowControl/>
              <w:adjustRightInd w:val="0"/>
              <w:snapToGrid w:val="0"/>
              <w:spacing w:line="300" w:lineRule="exact"/>
              <w:ind w:firstLine="220"/>
              <w:rPr>
                <w:rFonts w:ascii="CESI仿宋-GB2312" w:hAnsi="CESI仿宋-GB2312" w:eastAsia="CESI仿宋-GB2312" w:cs="CESI仿宋-GB2312"/>
                <w:snapToGrid w:val="0"/>
                <w:spacing w:val="-6"/>
                <w:kern w:val="0"/>
                <w:szCs w:val="21"/>
              </w:rPr>
            </w:pPr>
            <w:r>
              <w:rPr>
                <w:rFonts w:hint="eastAsia" w:ascii="CESI仿宋-GB2312" w:hAnsi="CESI仿宋-GB2312" w:eastAsia="CESI仿宋-GB2312" w:cs="CESI仿宋-GB2312"/>
                <w:snapToGrid w:val="0"/>
                <w:spacing w:val="-6"/>
                <w:kern w:val="0"/>
                <w:szCs w:val="21"/>
              </w:rPr>
              <w:t>4、污水构筑物</w:t>
            </w:r>
          </w:p>
        </w:tc>
        <w:tc>
          <w:tcPr>
            <w:tcW w:w="1774" w:type="dxa"/>
            <w:noWrap/>
            <w:vAlign w:val="center"/>
          </w:tcPr>
          <w:p>
            <w:pPr>
              <w:widowControl/>
              <w:adjustRightInd w:val="0"/>
              <w:snapToGrid w:val="0"/>
              <w:spacing w:line="300" w:lineRule="exact"/>
              <w:jc w:val="center"/>
              <w:rPr>
                <w:rFonts w:ascii="CESI仿宋-GB2312" w:hAnsi="CESI仿宋-GB2312" w:eastAsia="CESI仿宋-GB2312" w:cs="CESI仿宋-GB2312"/>
                <w:snapToGrid w:val="0"/>
                <w:spacing w:val="-6"/>
                <w:kern w:val="0"/>
                <w:szCs w:val="21"/>
              </w:rPr>
            </w:pPr>
            <w:r>
              <w:rPr>
                <w:rFonts w:hint="eastAsia" w:ascii="CESI仿宋-GB2312" w:hAnsi="CESI仿宋-GB2312" w:eastAsia="CESI仿宋-GB2312" w:cs="CESI仿宋-GB2312"/>
                <w:snapToGrid w:val="0"/>
                <w:spacing w:val="-6"/>
                <w:kern w:val="0"/>
                <w:szCs w:val="21"/>
              </w:rPr>
              <w:t>20年</w:t>
            </w:r>
          </w:p>
        </w:tc>
        <w:tc>
          <w:tcPr>
            <w:tcW w:w="4527" w:type="dxa"/>
            <w:noWrap/>
            <w:vAlign w:val="center"/>
          </w:tcPr>
          <w:p>
            <w:pPr>
              <w:widowControl/>
              <w:adjustRightInd w:val="0"/>
              <w:snapToGrid w:val="0"/>
              <w:spacing w:line="300" w:lineRule="exact"/>
              <w:jc w:val="left"/>
              <w:rPr>
                <w:rFonts w:ascii="CESI仿宋-GB2312" w:hAnsi="CESI仿宋-GB2312" w:eastAsia="CESI仿宋-GB2312" w:cs="CESI仿宋-GB2312"/>
                <w:snapToGrid w:val="0"/>
                <w:spacing w:val="-6"/>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jc w:val="center"/>
        </w:trPr>
        <w:tc>
          <w:tcPr>
            <w:tcW w:w="3016" w:type="dxa"/>
            <w:noWrap/>
            <w:vAlign w:val="center"/>
          </w:tcPr>
          <w:p>
            <w:pPr>
              <w:widowControl/>
              <w:adjustRightInd w:val="0"/>
              <w:snapToGrid w:val="0"/>
              <w:spacing w:line="300" w:lineRule="exact"/>
              <w:ind w:firstLine="594" w:firstLineChars="300"/>
              <w:rPr>
                <w:rFonts w:ascii="CESI仿宋-GB2312" w:hAnsi="CESI仿宋-GB2312" w:eastAsia="CESI仿宋-GB2312" w:cs="CESI仿宋-GB2312"/>
                <w:snapToGrid w:val="0"/>
                <w:spacing w:val="-6"/>
                <w:kern w:val="0"/>
                <w:szCs w:val="21"/>
              </w:rPr>
            </w:pPr>
            <w:r>
              <w:rPr>
                <w:rFonts w:hint="eastAsia" w:ascii="CESI仿宋-GB2312" w:hAnsi="CESI仿宋-GB2312" w:eastAsia="CESI仿宋-GB2312" w:cs="CESI仿宋-GB2312"/>
                <w:snapToGrid w:val="0"/>
                <w:spacing w:val="-6"/>
                <w:kern w:val="0"/>
                <w:szCs w:val="21"/>
              </w:rPr>
              <w:t>其他构筑物</w:t>
            </w:r>
          </w:p>
          <w:p>
            <w:pPr>
              <w:widowControl/>
              <w:numPr>
                <w:ilvl w:val="0"/>
                <w:numId w:val="5"/>
              </w:numPr>
              <w:adjustRightInd w:val="0"/>
              <w:snapToGrid w:val="0"/>
              <w:spacing w:line="300" w:lineRule="exact"/>
              <w:ind w:firstLine="220"/>
              <w:rPr>
                <w:rFonts w:ascii="CESI仿宋-GB2312" w:hAnsi="CESI仿宋-GB2312" w:eastAsia="CESI仿宋-GB2312" w:cs="CESI仿宋-GB2312"/>
                <w:snapToGrid w:val="0"/>
                <w:spacing w:val="-6"/>
                <w:kern w:val="0"/>
                <w:szCs w:val="21"/>
              </w:rPr>
            </w:pPr>
          </w:p>
        </w:tc>
        <w:tc>
          <w:tcPr>
            <w:tcW w:w="1774" w:type="dxa"/>
            <w:noWrap/>
            <w:vAlign w:val="center"/>
          </w:tcPr>
          <w:p>
            <w:pPr>
              <w:widowControl/>
              <w:adjustRightInd w:val="0"/>
              <w:snapToGrid w:val="0"/>
              <w:spacing w:line="300" w:lineRule="exact"/>
              <w:jc w:val="center"/>
              <w:rPr>
                <w:rFonts w:ascii="CESI仿宋-GB2312" w:hAnsi="CESI仿宋-GB2312" w:eastAsia="CESI仿宋-GB2312" w:cs="CESI仿宋-GB2312"/>
                <w:snapToGrid w:val="0"/>
                <w:spacing w:val="-6"/>
                <w:kern w:val="0"/>
                <w:szCs w:val="21"/>
              </w:rPr>
            </w:pPr>
            <w:r>
              <w:rPr>
                <w:rFonts w:hint="eastAsia" w:ascii="CESI仿宋-GB2312" w:hAnsi="CESI仿宋-GB2312" w:eastAsia="CESI仿宋-GB2312" w:cs="CESI仿宋-GB2312"/>
                <w:snapToGrid w:val="0"/>
                <w:spacing w:val="-6"/>
                <w:kern w:val="0"/>
                <w:szCs w:val="21"/>
              </w:rPr>
              <w:t>8年</w:t>
            </w:r>
          </w:p>
        </w:tc>
        <w:tc>
          <w:tcPr>
            <w:tcW w:w="4527" w:type="dxa"/>
            <w:noWrap/>
            <w:vAlign w:val="center"/>
          </w:tcPr>
          <w:p>
            <w:pPr>
              <w:widowControl/>
              <w:adjustRightInd w:val="0"/>
              <w:snapToGrid w:val="0"/>
              <w:spacing w:line="300" w:lineRule="exact"/>
              <w:jc w:val="left"/>
              <w:rPr>
                <w:rFonts w:ascii="CESI仿宋-GB2312" w:hAnsi="CESI仿宋-GB2312" w:eastAsia="CESI仿宋-GB2312" w:cs="CESI仿宋-GB2312"/>
                <w:snapToGrid w:val="0"/>
                <w:spacing w:val="-6"/>
                <w:kern w:val="0"/>
                <w:szCs w:val="21"/>
              </w:rPr>
            </w:pPr>
            <w:r>
              <w:rPr>
                <w:rFonts w:hint="eastAsia" w:ascii="CESI仿宋-GB2312" w:hAnsi="CESI仿宋-GB2312" w:eastAsia="CESI仿宋-GB2312" w:cs="CESI仿宋-GB2312"/>
                <w:snapToGrid w:val="0"/>
                <w:spacing w:val="-6"/>
                <w:kern w:val="0"/>
                <w:szCs w:val="21"/>
              </w:rPr>
              <w:t>池、罐、槽、塔等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jc w:val="center"/>
        </w:trPr>
        <w:tc>
          <w:tcPr>
            <w:tcW w:w="3016" w:type="dxa"/>
            <w:noWrap/>
            <w:vAlign w:val="center"/>
          </w:tcPr>
          <w:p>
            <w:pPr>
              <w:widowControl/>
              <w:adjustRightInd w:val="0"/>
              <w:snapToGrid w:val="0"/>
              <w:spacing w:line="300" w:lineRule="exact"/>
              <w:ind w:firstLine="198" w:firstLineChars="100"/>
              <w:rPr>
                <w:rFonts w:ascii="CESI仿宋-GB2312" w:hAnsi="CESI仿宋-GB2312" w:eastAsia="CESI仿宋-GB2312" w:cs="CESI仿宋-GB2312"/>
                <w:snapToGrid w:val="0"/>
                <w:spacing w:val="-6"/>
                <w:kern w:val="0"/>
                <w:szCs w:val="21"/>
              </w:rPr>
            </w:pPr>
            <w:r>
              <w:rPr>
                <w:rFonts w:hint="eastAsia" w:ascii="CESI仿宋-GB2312" w:hAnsi="CESI仿宋-GB2312" w:eastAsia="CESI仿宋-GB2312" w:cs="CESI仿宋-GB2312"/>
                <w:snapToGrid w:val="0"/>
                <w:spacing w:val="-6"/>
                <w:kern w:val="0"/>
                <w:szCs w:val="21"/>
              </w:rPr>
              <w:t>5、管道</w:t>
            </w:r>
          </w:p>
        </w:tc>
        <w:tc>
          <w:tcPr>
            <w:tcW w:w="1774" w:type="dxa"/>
            <w:noWrap/>
            <w:vAlign w:val="center"/>
          </w:tcPr>
          <w:p>
            <w:pPr>
              <w:widowControl/>
              <w:adjustRightInd w:val="0"/>
              <w:snapToGrid w:val="0"/>
              <w:spacing w:line="300" w:lineRule="exact"/>
              <w:jc w:val="center"/>
              <w:rPr>
                <w:rFonts w:ascii="CESI仿宋-GB2312" w:hAnsi="CESI仿宋-GB2312" w:eastAsia="CESI仿宋-GB2312" w:cs="CESI仿宋-GB2312"/>
                <w:snapToGrid w:val="0"/>
                <w:spacing w:val="-6"/>
                <w:kern w:val="0"/>
                <w:szCs w:val="21"/>
              </w:rPr>
            </w:pPr>
            <w:r>
              <w:rPr>
                <w:rFonts w:hint="eastAsia" w:ascii="CESI仿宋-GB2312" w:hAnsi="CESI仿宋-GB2312" w:eastAsia="CESI仿宋-GB2312" w:cs="CESI仿宋-GB2312"/>
                <w:snapToGrid w:val="0"/>
                <w:spacing w:val="-6"/>
                <w:kern w:val="0"/>
                <w:szCs w:val="21"/>
              </w:rPr>
              <w:t>15年</w:t>
            </w:r>
          </w:p>
        </w:tc>
        <w:tc>
          <w:tcPr>
            <w:tcW w:w="4527" w:type="dxa"/>
            <w:noWrap/>
            <w:vAlign w:val="center"/>
          </w:tcPr>
          <w:p>
            <w:pPr>
              <w:widowControl/>
              <w:adjustRightInd w:val="0"/>
              <w:snapToGrid w:val="0"/>
              <w:spacing w:line="300" w:lineRule="exact"/>
              <w:jc w:val="left"/>
              <w:rPr>
                <w:rFonts w:ascii="CESI仿宋-GB2312" w:hAnsi="CESI仿宋-GB2312" w:eastAsia="CESI仿宋-GB2312" w:cs="CESI仿宋-GB2312"/>
                <w:snapToGrid w:val="0"/>
                <w:spacing w:val="-6"/>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jc w:val="center"/>
        </w:trPr>
        <w:tc>
          <w:tcPr>
            <w:tcW w:w="3016" w:type="dxa"/>
            <w:noWrap/>
            <w:vAlign w:val="center"/>
          </w:tcPr>
          <w:p>
            <w:pPr>
              <w:widowControl/>
              <w:adjustRightInd w:val="0"/>
              <w:snapToGrid w:val="0"/>
              <w:spacing w:line="300" w:lineRule="exact"/>
              <w:rPr>
                <w:rFonts w:ascii="CESI仿宋-GB2312" w:hAnsi="CESI仿宋-GB2312" w:eastAsia="CESI仿宋-GB2312" w:cs="CESI仿宋-GB2312"/>
                <w:snapToGrid w:val="0"/>
                <w:spacing w:val="-6"/>
                <w:kern w:val="0"/>
                <w:szCs w:val="21"/>
              </w:rPr>
            </w:pPr>
            <w:r>
              <w:rPr>
                <w:rFonts w:hint="eastAsia" w:ascii="CESI仿宋-GB2312" w:hAnsi="CESI仿宋-GB2312" w:eastAsia="CESI仿宋-GB2312" w:cs="CESI仿宋-GB2312"/>
                <w:b/>
                <w:bCs/>
                <w:snapToGrid w:val="0"/>
                <w:spacing w:val="-6"/>
                <w:kern w:val="0"/>
                <w:szCs w:val="21"/>
              </w:rPr>
              <w:t>二、通用设备</w:t>
            </w:r>
          </w:p>
        </w:tc>
        <w:tc>
          <w:tcPr>
            <w:tcW w:w="1774" w:type="dxa"/>
            <w:noWrap/>
            <w:vAlign w:val="center"/>
          </w:tcPr>
          <w:p>
            <w:pPr>
              <w:widowControl/>
              <w:adjustRightInd w:val="0"/>
              <w:snapToGrid w:val="0"/>
              <w:spacing w:line="300" w:lineRule="exact"/>
              <w:jc w:val="center"/>
              <w:rPr>
                <w:rFonts w:ascii="CESI仿宋-GB2312" w:hAnsi="CESI仿宋-GB2312" w:eastAsia="CESI仿宋-GB2312" w:cs="CESI仿宋-GB2312"/>
                <w:snapToGrid w:val="0"/>
                <w:spacing w:val="-6"/>
                <w:kern w:val="0"/>
                <w:szCs w:val="21"/>
              </w:rPr>
            </w:pPr>
          </w:p>
        </w:tc>
        <w:tc>
          <w:tcPr>
            <w:tcW w:w="4527" w:type="dxa"/>
            <w:noWrap/>
            <w:vAlign w:val="center"/>
          </w:tcPr>
          <w:p>
            <w:pPr>
              <w:widowControl/>
              <w:adjustRightInd w:val="0"/>
              <w:snapToGrid w:val="0"/>
              <w:spacing w:line="300" w:lineRule="exact"/>
              <w:jc w:val="left"/>
              <w:rPr>
                <w:rFonts w:ascii="CESI仿宋-GB2312" w:hAnsi="CESI仿宋-GB2312" w:eastAsia="CESI仿宋-GB2312" w:cs="CESI仿宋-GB2312"/>
                <w:snapToGrid w:val="0"/>
                <w:spacing w:val="-6"/>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jc w:val="center"/>
        </w:trPr>
        <w:tc>
          <w:tcPr>
            <w:tcW w:w="3016" w:type="dxa"/>
            <w:noWrap/>
            <w:vAlign w:val="center"/>
          </w:tcPr>
          <w:p>
            <w:pPr>
              <w:widowControl/>
              <w:adjustRightInd w:val="0"/>
              <w:snapToGrid w:val="0"/>
              <w:spacing w:line="300" w:lineRule="exact"/>
              <w:rPr>
                <w:rFonts w:ascii="CESI仿宋-GB2312" w:hAnsi="CESI仿宋-GB2312" w:eastAsia="CESI仿宋-GB2312" w:cs="CESI仿宋-GB2312"/>
                <w:snapToGrid w:val="0"/>
                <w:spacing w:val="-6"/>
                <w:kern w:val="0"/>
                <w:szCs w:val="21"/>
              </w:rPr>
            </w:pPr>
            <w:r>
              <w:rPr>
                <w:rFonts w:hint="eastAsia" w:ascii="CESI仿宋-GB2312" w:hAnsi="CESI仿宋-GB2312" w:eastAsia="CESI仿宋-GB2312" w:cs="CESI仿宋-GB2312"/>
                <w:snapToGrid w:val="0"/>
                <w:spacing w:val="-6"/>
                <w:kern w:val="0"/>
                <w:szCs w:val="21"/>
              </w:rPr>
              <w:t xml:space="preserve">  1、计算机设备</w:t>
            </w:r>
          </w:p>
        </w:tc>
        <w:tc>
          <w:tcPr>
            <w:tcW w:w="1774" w:type="dxa"/>
            <w:noWrap/>
            <w:vAlign w:val="center"/>
          </w:tcPr>
          <w:p>
            <w:pPr>
              <w:widowControl/>
              <w:adjustRightInd w:val="0"/>
              <w:snapToGrid w:val="0"/>
              <w:spacing w:line="300" w:lineRule="exact"/>
              <w:jc w:val="center"/>
              <w:rPr>
                <w:rFonts w:ascii="CESI仿宋-GB2312" w:hAnsi="CESI仿宋-GB2312" w:eastAsia="CESI仿宋-GB2312" w:cs="CESI仿宋-GB2312"/>
                <w:snapToGrid w:val="0"/>
                <w:spacing w:val="-6"/>
                <w:kern w:val="0"/>
                <w:szCs w:val="21"/>
              </w:rPr>
            </w:pPr>
            <w:r>
              <w:rPr>
                <w:rFonts w:hint="eastAsia" w:ascii="CESI仿宋-GB2312" w:hAnsi="CESI仿宋-GB2312" w:eastAsia="CESI仿宋-GB2312" w:cs="CESI仿宋-GB2312"/>
                <w:snapToGrid w:val="0"/>
                <w:spacing w:val="-6"/>
                <w:kern w:val="0"/>
                <w:szCs w:val="21"/>
              </w:rPr>
              <w:t>不低于6年</w:t>
            </w:r>
          </w:p>
          <w:p>
            <w:pPr>
              <w:widowControl/>
              <w:adjustRightInd w:val="0"/>
              <w:snapToGrid w:val="0"/>
              <w:spacing w:line="300" w:lineRule="exact"/>
              <w:jc w:val="center"/>
              <w:rPr>
                <w:rFonts w:ascii="CESI仿宋-GB2312" w:hAnsi="CESI仿宋-GB2312" w:eastAsia="CESI仿宋-GB2312" w:cs="CESI仿宋-GB2312"/>
                <w:snapToGrid w:val="0"/>
                <w:spacing w:val="-6"/>
                <w:kern w:val="0"/>
                <w:szCs w:val="21"/>
              </w:rPr>
            </w:pPr>
          </w:p>
        </w:tc>
        <w:tc>
          <w:tcPr>
            <w:tcW w:w="4527" w:type="dxa"/>
            <w:noWrap/>
            <w:vAlign w:val="center"/>
          </w:tcPr>
          <w:p>
            <w:pPr>
              <w:widowControl/>
              <w:adjustRightInd w:val="0"/>
              <w:snapToGrid w:val="0"/>
              <w:spacing w:line="300" w:lineRule="exact"/>
              <w:jc w:val="left"/>
              <w:rPr>
                <w:rFonts w:ascii="CESI仿宋-GB2312" w:hAnsi="CESI仿宋-GB2312" w:eastAsia="CESI仿宋-GB2312" w:cs="CESI仿宋-GB2312"/>
                <w:snapToGrid w:val="0"/>
                <w:spacing w:val="-6"/>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5" w:hRule="exact"/>
          <w:jc w:val="center"/>
        </w:trPr>
        <w:tc>
          <w:tcPr>
            <w:tcW w:w="3016" w:type="dxa"/>
            <w:noWrap/>
            <w:vAlign w:val="center"/>
          </w:tcPr>
          <w:p>
            <w:pPr>
              <w:widowControl/>
              <w:adjustRightInd w:val="0"/>
              <w:snapToGrid w:val="0"/>
              <w:spacing w:line="300" w:lineRule="exact"/>
              <w:rPr>
                <w:rFonts w:ascii="CESI仿宋-GB2312" w:hAnsi="CESI仿宋-GB2312" w:eastAsia="CESI仿宋-GB2312" w:cs="CESI仿宋-GB2312"/>
                <w:snapToGrid w:val="0"/>
                <w:spacing w:val="-6"/>
                <w:kern w:val="0"/>
                <w:szCs w:val="21"/>
              </w:rPr>
            </w:pPr>
            <w:r>
              <w:rPr>
                <w:rFonts w:hint="eastAsia" w:ascii="CESI仿宋-GB2312" w:hAnsi="CESI仿宋-GB2312" w:eastAsia="CESI仿宋-GB2312" w:cs="CESI仿宋-GB2312"/>
                <w:snapToGrid w:val="0"/>
                <w:spacing w:val="-6"/>
                <w:kern w:val="0"/>
                <w:szCs w:val="21"/>
              </w:rPr>
              <w:t xml:space="preserve">  2、办公设备</w:t>
            </w:r>
          </w:p>
        </w:tc>
        <w:tc>
          <w:tcPr>
            <w:tcW w:w="1774" w:type="dxa"/>
            <w:noWrap/>
            <w:vAlign w:val="center"/>
          </w:tcPr>
          <w:p>
            <w:pPr>
              <w:widowControl/>
              <w:adjustRightInd w:val="0"/>
              <w:snapToGrid w:val="0"/>
              <w:spacing w:line="300" w:lineRule="exact"/>
              <w:jc w:val="center"/>
              <w:rPr>
                <w:rFonts w:ascii="CESI仿宋-GB2312" w:hAnsi="CESI仿宋-GB2312" w:eastAsia="CESI仿宋-GB2312" w:cs="CESI仿宋-GB2312"/>
                <w:snapToGrid w:val="0"/>
                <w:spacing w:val="-6"/>
                <w:kern w:val="0"/>
                <w:szCs w:val="21"/>
              </w:rPr>
            </w:pPr>
            <w:r>
              <w:rPr>
                <w:rFonts w:hint="eastAsia" w:ascii="CESI仿宋-GB2312" w:hAnsi="CESI仿宋-GB2312" w:eastAsia="CESI仿宋-GB2312" w:cs="CESI仿宋-GB2312"/>
                <w:snapToGrid w:val="0"/>
                <w:spacing w:val="-6"/>
                <w:kern w:val="0"/>
                <w:szCs w:val="21"/>
              </w:rPr>
              <w:t>不低于6年</w:t>
            </w:r>
          </w:p>
        </w:tc>
        <w:tc>
          <w:tcPr>
            <w:tcW w:w="4527" w:type="dxa"/>
            <w:noWrap/>
            <w:vAlign w:val="center"/>
          </w:tcPr>
          <w:p>
            <w:pPr>
              <w:widowControl/>
              <w:adjustRightInd w:val="0"/>
              <w:snapToGrid w:val="0"/>
              <w:spacing w:line="300" w:lineRule="exact"/>
              <w:jc w:val="left"/>
              <w:rPr>
                <w:rFonts w:ascii="CESI仿宋-GB2312" w:hAnsi="CESI仿宋-GB2312" w:eastAsia="CESI仿宋-GB2312" w:cs="CESI仿宋-GB2312"/>
                <w:snapToGrid w:val="0"/>
                <w:spacing w:val="-6"/>
                <w:kern w:val="0"/>
                <w:szCs w:val="21"/>
              </w:rPr>
            </w:pPr>
            <w:r>
              <w:rPr>
                <w:rFonts w:hint="eastAsia" w:ascii="CESI仿宋-GB2312" w:hAnsi="CESI仿宋-GB2312" w:eastAsia="CESI仿宋-GB2312" w:cs="CESI仿宋-GB2312"/>
                <w:snapToGrid w:val="0"/>
                <w:spacing w:val="-6"/>
                <w:kern w:val="0"/>
                <w:szCs w:val="21"/>
              </w:rPr>
              <w:t>电话机、传真机、复印机、投影仪、多功能一体机、录音设备、电子白板、LED显示屏、触控一体机等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0" w:hRule="exact"/>
          <w:jc w:val="center"/>
        </w:trPr>
        <w:tc>
          <w:tcPr>
            <w:tcW w:w="3016" w:type="dxa"/>
            <w:noWrap/>
            <w:vAlign w:val="center"/>
          </w:tcPr>
          <w:p>
            <w:pPr>
              <w:widowControl/>
              <w:adjustRightInd w:val="0"/>
              <w:snapToGrid w:val="0"/>
              <w:spacing w:line="300" w:lineRule="exact"/>
              <w:rPr>
                <w:rFonts w:ascii="CESI仿宋-GB2312" w:hAnsi="CESI仿宋-GB2312" w:eastAsia="CESI仿宋-GB2312" w:cs="CESI仿宋-GB2312"/>
                <w:snapToGrid w:val="0"/>
                <w:spacing w:val="-6"/>
                <w:kern w:val="0"/>
                <w:szCs w:val="21"/>
              </w:rPr>
            </w:pPr>
            <w:r>
              <w:rPr>
                <w:rFonts w:hint="eastAsia" w:ascii="CESI仿宋-GB2312" w:hAnsi="CESI仿宋-GB2312" w:eastAsia="CESI仿宋-GB2312" w:cs="CESI仿宋-GB2312"/>
                <w:snapToGrid w:val="0"/>
                <w:spacing w:val="-6"/>
                <w:kern w:val="0"/>
                <w:szCs w:val="21"/>
              </w:rPr>
              <w:t xml:space="preserve">  3、交通工具</w:t>
            </w:r>
          </w:p>
        </w:tc>
        <w:tc>
          <w:tcPr>
            <w:tcW w:w="1774" w:type="dxa"/>
            <w:noWrap/>
            <w:vAlign w:val="center"/>
          </w:tcPr>
          <w:p>
            <w:pPr>
              <w:widowControl/>
              <w:adjustRightInd w:val="0"/>
              <w:snapToGrid w:val="0"/>
              <w:spacing w:line="300" w:lineRule="exact"/>
              <w:jc w:val="center"/>
              <w:rPr>
                <w:rFonts w:ascii="CESI仿宋-GB2312" w:hAnsi="CESI仿宋-GB2312" w:eastAsia="CESI仿宋-GB2312" w:cs="CESI仿宋-GB2312"/>
                <w:snapToGrid w:val="0"/>
                <w:spacing w:val="-6"/>
                <w:kern w:val="0"/>
                <w:szCs w:val="21"/>
              </w:rPr>
            </w:pPr>
            <w:r>
              <w:rPr>
                <w:rFonts w:hint="eastAsia" w:ascii="CESI仿宋-GB2312" w:hAnsi="CESI仿宋-GB2312" w:eastAsia="CESI仿宋-GB2312" w:cs="CESI仿宋-GB2312"/>
                <w:snapToGrid w:val="0"/>
                <w:spacing w:val="-6"/>
                <w:kern w:val="0"/>
                <w:szCs w:val="21"/>
              </w:rPr>
              <w:t>不低于8年</w:t>
            </w:r>
          </w:p>
        </w:tc>
        <w:tc>
          <w:tcPr>
            <w:tcW w:w="4527" w:type="dxa"/>
            <w:noWrap/>
            <w:vAlign w:val="center"/>
          </w:tcPr>
          <w:p>
            <w:pPr>
              <w:widowControl/>
              <w:adjustRightInd w:val="0"/>
              <w:snapToGrid w:val="0"/>
              <w:spacing w:line="300" w:lineRule="exact"/>
              <w:jc w:val="left"/>
              <w:rPr>
                <w:rFonts w:ascii="CESI仿宋-GB2312" w:hAnsi="CESI仿宋-GB2312" w:eastAsia="CESI仿宋-GB2312" w:cs="CESI仿宋-GB2312"/>
                <w:snapToGrid w:val="0"/>
                <w:spacing w:val="-6"/>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jc w:val="center"/>
        </w:trPr>
        <w:tc>
          <w:tcPr>
            <w:tcW w:w="3016" w:type="dxa"/>
            <w:noWrap/>
            <w:vAlign w:val="center"/>
          </w:tcPr>
          <w:p>
            <w:pPr>
              <w:widowControl/>
              <w:adjustRightInd w:val="0"/>
              <w:snapToGrid w:val="0"/>
              <w:spacing w:line="300" w:lineRule="exact"/>
              <w:rPr>
                <w:rFonts w:ascii="CESI仿宋-GB2312" w:hAnsi="CESI仿宋-GB2312" w:eastAsia="CESI仿宋-GB2312" w:cs="CESI仿宋-GB2312"/>
                <w:snapToGrid w:val="0"/>
                <w:spacing w:val="-6"/>
                <w:kern w:val="0"/>
                <w:szCs w:val="21"/>
              </w:rPr>
            </w:pPr>
            <w:r>
              <w:rPr>
                <w:rFonts w:ascii="CESI仿宋-GB2312" w:hAnsi="CESI仿宋-GB2312" w:eastAsia="CESI仿宋-GB2312" w:cs="CESI仿宋-GB2312"/>
                <w:snapToGrid w:val="0"/>
                <w:spacing w:val="-6"/>
                <w:kern w:val="0"/>
                <w:szCs w:val="21"/>
              </w:rPr>
              <w:t>4</w:t>
            </w:r>
            <w:r>
              <w:rPr>
                <w:rFonts w:hint="eastAsia" w:ascii="CESI仿宋-GB2312" w:hAnsi="CESI仿宋-GB2312" w:eastAsia="CESI仿宋-GB2312" w:cs="CESI仿宋-GB2312"/>
                <w:snapToGrid w:val="0"/>
                <w:spacing w:val="-6"/>
                <w:kern w:val="0"/>
                <w:szCs w:val="21"/>
              </w:rPr>
              <w:t>、机械设备</w:t>
            </w:r>
          </w:p>
        </w:tc>
        <w:tc>
          <w:tcPr>
            <w:tcW w:w="1774" w:type="dxa"/>
            <w:noWrap/>
            <w:vAlign w:val="center"/>
          </w:tcPr>
          <w:p>
            <w:pPr>
              <w:widowControl/>
              <w:adjustRightInd w:val="0"/>
              <w:snapToGrid w:val="0"/>
              <w:spacing w:line="300" w:lineRule="exact"/>
              <w:jc w:val="center"/>
              <w:rPr>
                <w:rFonts w:ascii="CESI仿宋-GB2312" w:hAnsi="CESI仿宋-GB2312" w:eastAsia="CESI仿宋-GB2312" w:cs="CESI仿宋-GB2312"/>
                <w:snapToGrid w:val="0"/>
                <w:spacing w:val="-6"/>
                <w:kern w:val="0"/>
                <w:szCs w:val="21"/>
              </w:rPr>
            </w:pPr>
            <w:r>
              <w:rPr>
                <w:rFonts w:hint="eastAsia" w:ascii="CESI仿宋-GB2312" w:hAnsi="CESI仿宋-GB2312" w:eastAsia="CESI仿宋-GB2312" w:cs="CESI仿宋-GB2312"/>
                <w:snapToGrid w:val="0"/>
                <w:spacing w:val="-6"/>
                <w:kern w:val="0"/>
                <w:szCs w:val="21"/>
              </w:rPr>
              <w:t>不低于10年</w:t>
            </w:r>
          </w:p>
        </w:tc>
        <w:tc>
          <w:tcPr>
            <w:tcW w:w="4527" w:type="dxa"/>
            <w:noWrap/>
            <w:vAlign w:val="center"/>
          </w:tcPr>
          <w:p>
            <w:pPr>
              <w:widowControl/>
              <w:adjustRightInd w:val="0"/>
              <w:snapToGrid w:val="0"/>
              <w:spacing w:line="300" w:lineRule="exact"/>
              <w:jc w:val="left"/>
              <w:rPr>
                <w:rFonts w:ascii="CESI仿宋-GB2312" w:hAnsi="CESI仿宋-GB2312" w:eastAsia="CESI仿宋-GB2312" w:cs="CESI仿宋-GB2312"/>
                <w:snapToGrid w:val="0"/>
                <w:spacing w:val="-6"/>
                <w:kern w:val="0"/>
                <w:szCs w:val="21"/>
              </w:rPr>
            </w:pPr>
            <w:r>
              <w:rPr>
                <w:rFonts w:hint="eastAsia" w:ascii="CESI仿宋-GB2312" w:hAnsi="CESI仿宋-GB2312" w:eastAsia="CESI仿宋-GB2312" w:cs="CESI仿宋-GB2312"/>
                <w:snapToGrid w:val="0"/>
                <w:spacing w:val="-6"/>
                <w:kern w:val="0"/>
                <w:szCs w:val="21"/>
              </w:rPr>
              <w:t>电梯、空调、锅炉等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jc w:val="center"/>
        </w:trPr>
        <w:tc>
          <w:tcPr>
            <w:tcW w:w="3016" w:type="dxa"/>
            <w:noWrap/>
            <w:vAlign w:val="center"/>
          </w:tcPr>
          <w:p>
            <w:pPr>
              <w:widowControl/>
              <w:adjustRightInd w:val="0"/>
              <w:snapToGrid w:val="0"/>
              <w:spacing w:line="300" w:lineRule="exact"/>
              <w:rPr>
                <w:rFonts w:ascii="CESI仿宋-GB2312" w:hAnsi="CESI仿宋-GB2312" w:eastAsia="CESI仿宋-GB2312" w:cs="CESI仿宋-GB2312"/>
                <w:snapToGrid w:val="0"/>
                <w:spacing w:val="-6"/>
                <w:kern w:val="0"/>
                <w:szCs w:val="21"/>
              </w:rPr>
            </w:pPr>
            <w:r>
              <w:rPr>
                <w:rFonts w:ascii="CESI仿宋-GB2312" w:hAnsi="CESI仿宋-GB2312" w:eastAsia="CESI仿宋-GB2312" w:cs="CESI仿宋-GB2312"/>
                <w:snapToGrid w:val="0"/>
                <w:spacing w:val="-6"/>
                <w:kern w:val="0"/>
                <w:szCs w:val="21"/>
              </w:rPr>
              <w:t>5</w:t>
            </w:r>
            <w:r>
              <w:rPr>
                <w:rFonts w:hint="eastAsia" w:ascii="CESI仿宋-GB2312" w:hAnsi="CESI仿宋-GB2312" w:eastAsia="CESI仿宋-GB2312" w:cs="CESI仿宋-GB2312"/>
                <w:snapToGrid w:val="0"/>
                <w:spacing w:val="-6"/>
                <w:kern w:val="0"/>
                <w:szCs w:val="21"/>
              </w:rPr>
              <w:t>、电气设备</w:t>
            </w:r>
          </w:p>
        </w:tc>
        <w:tc>
          <w:tcPr>
            <w:tcW w:w="1774" w:type="dxa"/>
            <w:noWrap/>
            <w:vAlign w:val="center"/>
          </w:tcPr>
          <w:p>
            <w:pPr>
              <w:widowControl/>
              <w:adjustRightInd w:val="0"/>
              <w:snapToGrid w:val="0"/>
              <w:spacing w:line="300" w:lineRule="exact"/>
              <w:jc w:val="center"/>
              <w:rPr>
                <w:rFonts w:ascii="CESI仿宋-GB2312" w:hAnsi="CESI仿宋-GB2312" w:eastAsia="CESI仿宋-GB2312" w:cs="CESI仿宋-GB2312"/>
                <w:snapToGrid w:val="0"/>
                <w:spacing w:val="-6"/>
                <w:kern w:val="0"/>
                <w:szCs w:val="21"/>
              </w:rPr>
            </w:pPr>
            <w:r>
              <w:rPr>
                <w:rFonts w:hint="eastAsia" w:ascii="CESI仿宋-GB2312" w:hAnsi="CESI仿宋-GB2312" w:eastAsia="CESI仿宋-GB2312" w:cs="CESI仿宋-GB2312"/>
                <w:snapToGrid w:val="0"/>
                <w:spacing w:val="-6"/>
                <w:kern w:val="0"/>
                <w:szCs w:val="21"/>
              </w:rPr>
              <w:t>不低于5年</w:t>
            </w:r>
          </w:p>
        </w:tc>
        <w:tc>
          <w:tcPr>
            <w:tcW w:w="4527" w:type="dxa"/>
            <w:noWrap/>
            <w:vAlign w:val="center"/>
          </w:tcPr>
          <w:p>
            <w:pPr>
              <w:widowControl/>
              <w:adjustRightInd w:val="0"/>
              <w:snapToGrid w:val="0"/>
              <w:spacing w:line="300" w:lineRule="exact"/>
              <w:jc w:val="left"/>
              <w:rPr>
                <w:rFonts w:ascii="CESI仿宋-GB2312" w:hAnsi="CESI仿宋-GB2312" w:eastAsia="CESI仿宋-GB2312" w:cs="CESI仿宋-GB2312"/>
                <w:snapToGrid w:val="0"/>
                <w:spacing w:val="-6"/>
                <w:kern w:val="0"/>
                <w:szCs w:val="21"/>
              </w:rPr>
            </w:pPr>
            <w:r>
              <w:rPr>
                <w:rFonts w:hint="eastAsia" w:ascii="CESI仿宋-GB2312" w:hAnsi="CESI仿宋-GB2312" w:eastAsia="CESI仿宋-GB2312" w:cs="CESI仿宋-GB2312"/>
                <w:snapToGrid w:val="0"/>
                <w:spacing w:val="-6"/>
                <w:kern w:val="0"/>
                <w:szCs w:val="21"/>
              </w:rPr>
              <w:t>电机、变压器、电源设备、生活用电器等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jc w:val="center"/>
        </w:trPr>
        <w:tc>
          <w:tcPr>
            <w:tcW w:w="3016" w:type="dxa"/>
            <w:noWrap/>
            <w:vAlign w:val="center"/>
          </w:tcPr>
          <w:p>
            <w:pPr>
              <w:widowControl/>
              <w:adjustRightInd w:val="0"/>
              <w:snapToGrid w:val="0"/>
              <w:spacing w:line="300" w:lineRule="exact"/>
              <w:rPr>
                <w:rFonts w:ascii="CESI仿宋-GB2312" w:hAnsi="CESI仿宋-GB2312" w:eastAsia="CESI仿宋-GB2312" w:cs="CESI仿宋-GB2312"/>
                <w:snapToGrid w:val="0"/>
                <w:spacing w:val="-6"/>
                <w:kern w:val="0"/>
                <w:szCs w:val="21"/>
              </w:rPr>
            </w:pPr>
            <w:r>
              <w:rPr>
                <w:rFonts w:ascii="CESI仿宋-GB2312" w:hAnsi="CESI仿宋-GB2312" w:eastAsia="CESI仿宋-GB2312" w:cs="CESI仿宋-GB2312"/>
                <w:snapToGrid w:val="0"/>
                <w:spacing w:val="-6"/>
                <w:kern w:val="0"/>
                <w:szCs w:val="21"/>
              </w:rPr>
              <w:t>6</w:t>
            </w:r>
            <w:r>
              <w:rPr>
                <w:rFonts w:hint="eastAsia" w:ascii="CESI仿宋-GB2312" w:hAnsi="CESI仿宋-GB2312" w:eastAsia="CESI仿宋-GB2312" w:cs="CESI仿宋-GB2312"/>
                <w:snapToGrid w:val="0"/>
                <w:spacing w:val="-6"/>
                <w:kern w:val="0"/>
                <w:szCs w:val="21"/>
              </w:rPr>
              <w:t>、通信设备</w:t>
            </w:r>
          </w:p>
        </w:tc>
        <w:tc>
          <w:tcPr>
            <w:tcW w:w="1774" w:type="dxa"/>
            <w:noWrap/>
            <w:vAlign w:val="center"/>
          </w:tcPr>
          <w:p>
            <w:pPr>
              <w:widowControl/>
              <w:adjustRightInd w:val="0"/>
              <w:snapToGrid w:val="0"/>
              <w:spacing w:line="300" w:lineRule="exact"/>
              <w:jc w:val="center"/>
              <w:rPr>
                <w:rFonts w:ascii="CESI仿宋-GB2312" w:hAnsi="CESI仿宋-GB2312" w:eastAsia="CESI仿宋-GB2312" w:cs="CESI仿宋-GB2312"/>
                <w:snapToGrid w:val="0"/>
                <w:spacing w:val="-6"/>
                <w:kern w:val="0"/>
                <w:szCs w:val="21"/>
              </w:rPr>
            </w:pPr>
            <w:r>
              <w:rPr>
                <w:rFonts w:hint="eastAsia" w:ascii="CESI仿宋-GB2312" w:hAnsi="CESI仿宋-GB2312" w:eastAsia="CESI仿宋-GB2312" w:cs="CESI仿宋-GB2312"/>
                <w:snapToGrid w:val="0"/>
                <w:spacing w:val="-6"/>
                <w:kern w:val="0"/>
                <w:szCs w:val="21"/>
              </w:rPr>
              <w:t>不低于5年</w:t>
            </w:r>
          </w:p>
        </w:tc>
        <w:tc>
          <w:tcPr>
            <w:tcW w:w="4527" w:type="dxa"/>
            <w:noWrap/>
            <w:vAlign w:val="center"/>
          </w:tcPr>
          <w:p>
            <w:pPr>
              <w:widowControl/>
              <w:adjustRightInd w:val="0"/>
              <w:snapToGrid w:val="0"/>
              <w:spacing w:line="300" w:lineRule="exact"/>
              <w:jc w:val="left"/>
              <w:rPr>
                <w:rFonts w:ascii="CESI仿宋-GB2312" w:hAnsi="CESI仿宋-GB2312" w:eastAsia="CESI仿宋-GB2312" w:cs="CESI仿宋-GB2312"/>
                <w:snapToGrid w:val="0"/>
                <w:spacing w:val="-6"/>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jc w:val="center"/>
        </w:trPr>
        <w:tc>
          <w:tcPr>
            <w:tcW w:w="3016" w:type="dxa"/>
            <w:noWrap/>
            <w:vAlign w:val="center"/>
          </w:tcPr>
          <w:p>
            <w:pPr>
              <w:widowControl/>
              <w:adjustRightInd w:val="0"/>
              <w:snapToGrid w:val="0"/>
              <w:spacing w:line="300" w:lineRule="exact"/>
              <w:rPr>
                <w:rFonts w:ascii="CESI仿宋-GB2312" w:hAnsi="CESI仿宋-GB2312" w:eastAsia="CESI仿宋-GB2312" w:cs="CESI仿宋-GB2312"/>
                <w:snapToGrid w:val="0"/>
                <w:spacing w:val="-6"/>
                <w:kern w:val="0"/>
                <w:szCs w:val="21"/>
              </w:rPr>
            </w:pPr>
            <w:r>
              <w:rPr>
                <w:rFonts w:ascii="CESI仿宋-GB2312" w:hAnsi="CESI仿宋-GB2312" w:eastAsia="CESI仿宋-GB2312" w:cs="CESI仿宋-GB2312"/>
                <w:snapToGrid w:val="0"/>
                <w:spacing w:val="-6"/>
                <w:kern w:val="0"/>
                <w:szCs w:val="21"/>
              </w:rPr>
              <w:t>7</w:t>
            </w:r>
            <w:r>
              <w:rPr>
                <w:rFonts w:hint="eastAsia" w:ascii="CESI仿宋-GB2312" w:hAnsi="CESI仿宋-GB2312" w:eastAsia="CESI仿宋-GB2312" w:cs="CESI仿宋-GB2312"/>
                <w:snapToGrid w:val="0"/>
                <w:spacing w:val="-6"/>
                <w:kern w:val="0"/>
                <w:szCs w:val="21"/>
              </w:rPr>
              <w:t>、仪器仪表</w:t>
            </w:r>
          </w:p>
        </w:tc>
        <w:tc>
          <w:tcPr>
            <w:tcW w:w="1774" w:type="dxa"/>
            <w:noWrap/>
            <w:vAlign w:val="center"/>
          </w:tcPr>
          <w:p>
            <w:pPr>
              <w:widowControl/>
              <w:adjustRightInd w:val="0"/>
              <w:snapToGrid w:val="0"/>
              <w:spacing w:line="300" w:lineRule="exact"/>
              <w:jc w:val="center"/>
              <w:rPr>
                <w:rFonts w:ascii="CESI仿宋-GB2312" w:hAnsi="CESI仿宋-GB2312" w:eastAsia="CESI仿宋-GB2312" w:cs="CESI仿宋-GB2312"/>
                <w:snapToGrid w:val="0"/>
                <w:spacing w:val="-6"/>
                <w:kern w:val="0"/>
                <w:szCs w:val="21"/>
              </w:rPr>
            </w:pPr>
            <w:r>
              <w:rPr>
                <w:rFonts w:hint="eastAsia" w:ascii="CESI仿宋-GB2312" w:hAnsi="CESI仿宋-GB2312" w:eastAsia="CESI仿宋-GB2312" w:cs="CESI仿宋-GB2312"/>
                <w:snapToGrid w:val="0"/>
                <w:spacing w:val="-6"/>
                <w:kern w:val="0"/>
                <w:szCs w:val="21"/>
              </w:rPr>
              <w:t>不低于5年</w:t>
            </w:r>
          </w:p>
        </w:tc>
        <w:tc>
          <w:tcPr>
            <w:tcW w:w="4527" w:type="dxa"/>
            <w:noWrap/>
            <w:vAlign w:val="center"/>
          </w:tcPr>
          <w:p>
            <w:pPr>
              <w:widowControl/>
              <w:adjustRightInd w:val="0"/>
              <w:snapToGrid w:val="0"/>
              <w:spacing w:line="300" w:lineRule="exact"/>
              <w:jc w:val="left"/>
              <w:rPr>
                <w:rFonts w:ascii="CESI仿宋-GB2312" w:hAnsi="CESI仿宋-GB2312" w:eastAsia="CESI仿宋-GB2312" w:cs="CESI仿宋-GB2312"/>
                <w:snapToGrid w:val="0"/>
                <w:spacing w:val="-6"/>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5" w:hRule="exact"/>
          <w:jc w:val="center"/>
        </w:trPr>
        <w:tc>
          <w:tcPr>
            <w:tcW w:w="3016" w:type="dxa"/>
            <w:noWrap/>
            <w:vAlign w:val="center"/>
          </w:tcPr>
          <w:p>
            <w:pPr>
              <w:widowControl/>
              <w:adjustRightInd w:val="0"/>
              <w:snapToGrid w:val="0"/>
              <w:spacing w:line="300" w:lineRule="exact"/>
              <w:rPr>
                <w:rFonts w:ascii="CESI仿宋-GB2312" w:hAnsi="CESI仿宋-GB2312" w:eastAsia="CESI仿宋-GB2312" w:cs="CESI仿宋-GB2312"/>
                <w:snapToGrid w:val="0"/>
                <w:spacing w:val="-6"/>
                <w:kern w:val="0"/>
                <w:szCs w:val="21"/>
              </w:rPr>
            </w:pPr>
            <w:r>
              <w:rPr>
                <w:rFonts w:ascii="CESI仿宋-GB2312" w:hAnsi="CESI仿宋-GB2312" w:eastAsia="CESI仿宋-GB2312" w:cs="CESI仿宋-GB2312"/>
                <w:snapToGrid w:val="0"/>
                <w:spacing w:val="-6"/>
                <w:kern w:val="0"/>
                <w:szCs w:val="21"/>
              </w:rPr>
              <w:t>8</w:t>
            </w:r>
            <w:r>
              <w:rPr>
                <w:rFonts w:hint="eastAsia" w:ascii="CESI仿宋-GB2312" w:hAnsi="CESI仿宋-GB2312" w:eastAsia="CESI仿宋-GB2312" w:cs="CESI仿宋-GB2312"/>
                <w:snapToGrid w:val="0"/>
                <w:spacing w:val="-6"/>
                <w:kern w:val="0"/>
                <w:szCs w:val="21"/>
              </w:rPr>
              <w:t>、电子和通信测量设备</w:t>
            </w:r>
          </w:p>
        </w:tc>
        <w:tc>
          <w:tcPr>
            <w:tcW w:w="1774" w:type="dxa"/>
            <w:noWrap/>
            <w:vAlign w:val="center"/>
          </w:tcPr>
          <w:p>
            <w:pPr>
              <w:widowControl/>
              <w:adjustRightInd w:val="0"/>
              <w:snapToGrid w:val="0"/>
              <w:spacing w:line="300" w:lineRule="exact"/>
              <w:jc w:val="center"/>
              <w:rPr>
                <w:rFonts w:ascii="CESI仿宋-GB2312" w:hAnsi="CESI仿宋-GB2312" w:eastAsia="CESI仿宋-GB2312" w:cs="CESI仿宋-GB2312"/>
                <w:snapToGrid w:val="0"/>
                <w:spacing w:val="-6"/>
                <w:kern w:val="0"/>
                <w:szCs w:val="21"/>
              </w:rPr>
            </w:pPr>
            <w:r>
              <w:rPr>
                <w:rFonts w:hint="eastAsia" w:ascii="CESI仿宋-GB2312" w:hAnsi="CESI仿宋-GB2312" w:eastAsia="CESI仿宋-GB2312" w:cs="CESI仿宋-GB2312"/>
                <w:snapToGrid w:val="0"/>
                <w:spacing w:val="-6"/>
                <w:kern w:val="0"/>
                <w:szCs w:val="21"/>
              </w:rPr>
              <w:t>不低于5年</w:t>
            </w:r>
          </w:p>
        </w:tc>
        <w:tc>
          <w:tcPr>
            <w:tcW w:w="4527" w:type="dxa"/>
            <w:noWrap/>
            <w:vAlign w:val="center"/>
          </w:tcPr>
          <w:p>
            <w:pPr>
              <w:widowControl/>
              <w:adjustRightInd w:val="0"/>
              <w:snapToGrid w:val="0"/>
              <w:spacing w:line="300" w:lineRule="exact"/>
              <w:jc w:val="left"/>
              <w:rPr>
                <w:rFonts w:ascii="CESI仿宋-GB2312" w:hAnsi="CESI仿宋-GB2312" w:eastAsia="CESI仿宋-GB2312" w:cs="CESI仿宋-GB2312"/>
                <w:snapToGrid w:val="0"/>
                <w:spacing w:val="-6"/>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jc w:val="center"/>
        </w:trPr>
        <w:tc>
          <w:tcPr>
            <w:tcW w:w="3016" w:type="dxa"/>
            <w:noWrap/>
            <w:vAlign w:val="center"/>
          </w:tcPr>
          <w:p>
            <w:pPr>
              <w:widowControl/>
              <w:adjustRightInd w:val="0"/>
              <w:snapToGrid w:val="0"/>
              <w:spacing w:line="300" w:lineRule="exact"/>
              <w:rPr>
                <w:rFonts w:ascii="CESI仿宋-GB2312" w:hAnsi="CESI仿宋-GB2312" w:eastAsia="CESI仿宋-GB2312" w:cs="CESI仿宋-GB2312"/>
                <w:snapToGrid w:val="0"/>
                <w:spacing w:val="-6"/>
                <w:kern w:val="0"/>
                <w:szCs w:val="21"/>
              </w:rPr>
            </w:pPr>
            <w:r>
              <w:rPr>
                <w:rFonts w:ascii="CESI仿宋-GB2312" w:hAnsi="CESI仿宋-GB2312" w:eastAsia="CESI仿宋-GB2312" w:cs="CESI仿宋-GB2312"/>
                <w:snapToGrid w:val="0"/>
                <w:spacing w:val="-6"/>
                <w:kern w:val="0"/>
                <w:szCs w:val="21"/>
              </w:rPr>
              <w:t>9</w:t>
            </w:r>
            <w:r>
              <w:rPr>
                <w:rFonts w:hint="eastAsia" w:ascii="CESI仿宋-GB2312" w:hAnsi="CESI仿宋-GB2312" w:eastAsia="CESI仿宋-GB2312" w:cs="CESI仿宋-GB2312"/>
                <w:snapToGrid w:val="0"/>
                <w:spacing w:val="-6"/>
                <w:kern w:val="0"/>
                <w:szCs w:val="21"/>
              </w:rPr>
              <w:t>、计量标准器具及量具、衡器</w:t>
            </w:r>
          </w:p>
        </w:tc>
        <w:tc>
          <w:tcPr>
            <w:tcW w:w="1774" w:type="dxa"/>
            <w:noWrap/>
            <w:vAlign w:val="center"/>
          </w:tcPr>
          <w:p>
            <w:pPr>
              <w:widowControl/>
              <w:adjustRightInd w:val="0"/>
              <w:snapToGrid w:val="0"/>
              <w:spacing w:line="300" w:lineRule="exact"/>
              <w:jc w:val="center"/>
              <w:rPr>
                <w:rFonts w:ascii="CESI仿宋-GB2312" w:hAnsi="CESI仿宋-GB2312" w:eastAsia="CESI仿宋-GB2312" w:cs="CESI仿宋-GB2312"/>
                <w:snapToGrid w:val="0"/>
                <w:spacing w:val="-6"/>
                <w:kern w:val="0"/>
                <w:szCs w:val="21"/>
              </w:rPr>
            </w:pPr>
            <w:r>
              <w:rPr>
                <w:rFonts w:hint="eastAsia" w:ascii="CESI仿宋-GB2312" w:hAnsi="CESI仿宋-GB2312" w:eastAsia="CESI仿宋-GB2312" w:cs="CESI仿宋-GB2312"/>
                <w:snapToGrid w:val="0"/>
                <w:spacing w:val="-6"/>
                <w:kern w:val="0"/>
                <w:szCs w:val="21"/>
              </w:rPr>
              <w:t>不低于5年</w:t>
            </w:r>
          </w:p>
        </w:tc>
        <w:tc>
          <w:tcPr>
            <w:tcW w:w="4527" w:type="dxa"/>
            <w:noWrap/>
            <w:vAlign w:val="center"/>
          </w:tcPr>
          <w:p>
            <w:pPr>
              <w:widowControl/>
              <w:adjustRightInd w:val="0"/>
              <w:snapToGrid w:val="0"/>
              <w:spacing w:line="300" w:lineRule="exact"/>
              <w:jc w:val="left"/>
              <w:rPr>
                <w:rFonts w:ascii="CESI仿宋-GB2312" w:hAnsi="CESI仿宋-GB2312" w:eastAsia="CESI仿宋-GB2312" w:cs="CESI仿宋-GB2312"/>
                <w:snapToGrid w:val="0"/>
                <w:spacing w:val="-6"/>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jc w:val="center"/>
        </w:trPr>
        <w:tc>
          <w:tcPr>
            <w:tcW w:w="3016" w:type="dxa"/>
            <w:noWrap/>
            <w:vAlign w:val="center"/>
          </w:tcPr>
          <w:p>
            <w:pPr>
              <w:widowControl/>
              <w:adjustRightInd w:val="0"/>
              <w:snapToGrid w:val="0"/>
              <w:spacing w:line="300" w:lineRule="exact"/>
              <w:rPr>
                <w:rFonts w:ascii="CESI仿宋-GB2312" w:hAnsi="CESI仿宋-GB2312" w:eastAsia="CESI仿宋-GB2312" w:cs="CESI仿宋-GB2312"/>
                <w:snapToGrid w:val="0"/>
                <w:spacing w:val="-6"/>
                <w:kern w:val="0"/>
                <w:szCs w:val="21"/>
              </w:rPr>
            </w:pPr>
            <w:r>
              <w:rPr>
                <w:rFonts w:hint="eastAsia" w:ascii="CESI仿宋-GB2312" w:hAnsi="CESI仿宋-GB2312" w:eastAsia="CESI仿宋-GB2312" w:cs="CESI仿宋-GB2312"/>
                <w:b/>
                <w:bCs/>
                <w:snapToGrid w:val="0"/>
                <w:spacing w:val="-6"/>
                <w:kern w:val="0"/>
                <w:szCs w:val="21"/>
              </w:rPr>
              <w:t>三、专用设备</w:t>
            </w:r>
          </w:p>
        </w:tc>
        <w:tc>
          <w:tcPr>
            <w:tcW w:w="1774" w:type="dxa"/>
            <w:noWrap/>
            <w:vAlign w:val="center"/>
          </w:tcPr>
          <w:p>
            <w:pPr>
              <w:widowControl/>
              <w:adjustRightInd w:val="0"/>
              <w:snapToGrid w:val="0"/>
              <w:spacing w:line="300" w:lineRule="exact"/>
              <w:jc w:val="center"/>
              <w:rPr>
                <w:rFonts w:ascii="CESI仿宋-GB2312" w:hAnsi="CESI仿宋-GB2312" w:eastAsia="CESI仿宋-GB2312" w:cs="CESI仿宋-GB2312"/>
                <w:snapToGrid w:val="0"/>
                <w:spacing w:val="-6"/>
                <w:kern w:val="0"/>
                <w:szCs w:val="21"/>
              </w:rPr>
            </w:pPr>
          </w:p>
        </w:tc>
        <w:tc>
          <w:tcPr>
            <w:tcW w:w="4527" w:type="dxa"/>
            <w:noWrap/>
            <w:vAlign w:val="center"/>
          </w:tcPr>
          <w:p>
            <w:pPr>
              <w:widowControl/>
              <w:adjustRightInd w:val="0"/>
              <w:snapToGrid w:val="0"/>
              <w:spacing w:line="300" w:lineRule="exact"/>
              <w:jc w:val="left"/>
              <w:rPr>
                <w:rFonts w:ascii="CESI仿宋-GB2312" w:hAnsi="CESI仿宋-GB2312" w:eastAsia="CESI仿宋-GB2312" w:cs="CESI仿宋-GB2312"/>
                <w:snapToGrid w:val="0"/>
                <w:spacing w:val="-6"/>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jc w:val="center"/>
        </w:trPr>
        <w:tc>
          <w:tcPr>
            <w:tcW w:w="3016" w:type="dxa"/>
            <w:noWrap/>
            <w:vAlign w:val="center"/>
          </w:tcPr>
          <w:p>
            <w:pPr>
              <w:widowControl/>
              <w:adjustRightInd w:val="0"/>
              <w:snapToGrid w:val="0"/>
              <w:spacing w:line="300" w:lineRule="exact"/>
              <w:ind w:firstLine="198" w:firstLineChars="100"/>
              <w:rPr>
                <w:rFonts w:ascii="CESI仿宋-GB2312" w:hAnsi="CESI仿宋-GB2312" w:eastAsia="CESI仿宋-GB2312" w:cs="CESI仿宋-GB2312"/>
                <w:snapToGrid w:val="0"/>
                <w:spacing w:val="-6"/>
                <w:kern w:val="0"/>
                <w:szCs w:val="21"/>
              </w:rPr>
            </w:pPr>
            <w:r>
              <w:rPr>
                <w:rFonts w:hint="eastAsia" w:ascii="CESI仿宋-GB2312" w:hAnsi="CESI仿宋-GB2312" w:eastAsia="CESI仿宋-GB2312" w:cs="CESI仿宋-GB2312"/>
                <w:snapToGrid w:val="0"/>
                <w:spacing w:val="-6"/>
                <w:kern w:val="0"/>
                <w:szCs w:val="21"/>
              </w:rPr>
              <w:t>1、污水处理设备</w:t>
            </w:r>
          </w:p>
        </w:tc>
        <w:tc>
          <w:tcPr>
            <w:tcW w:w="1774" w:type="dxa"/>
            <w:noWrap/>
            <w:vAlign w:val="center"/>
          </w:tcPr>
          <w:p>
            <w:pPr>
              <w:widowControl/>
              <w:adjustRightInd w:val="0"/>
              <w:snapToGrid w:val="0"/>
              <w:spacing w:line="300" w:lineRule="exact"/>
              <w:jc w:val="center"/>
              <w:rPr>
                <w:rFonts w:ascii="CESI仿宋-GB2312" w:hAnsi="CESI仿宋-GB2312" w:eastAsia="CESI仿宋-GB2312" w:cs="CESI仿宋-GB2312"/>
                <w:snapToGrid w:val="0"/>
                <w:spacing w:val="-6"/>
                <w:kern w:val="0"/>
                <w:szCs w:val="21"/>
              </w:rPr>
            </w:pPr>
            <w:r>
              <w:rPr>
                <w:rFonts w:hint="eastAsia" w:ascii="CESI仿宋-GB2312" w:hAnsi="CESI仿宋-GB2312" w:eastAsia="CESI仿宋-GB2312" w:cs="CESI仿宋-GB2312"/>
                <w:snapToGrid w:val="0"/>
                <w:spacing w:val="-6"/>
                <w:kern w:val="0"/>
                <w:szCs w:val="21"/>
              </w:rPr>
              <w:t>10年</w:t>
            </w:r>
          </w:p>
        </w:tc>
        <w:tc>
          <w:tcPr>
            <w:tcW w:w="4527" w:type="dxa"/>
            <w:noWrap/>
            <w:vAlign w:val="center"/>
          </w:tcPr>
          <w:p>
            <w:pPr>
              <w:widowControl/>
              <w:adjustRightInd w:val="0"/>
              <w:snapToGrid w:val="0"/>
              <w:spacing w:line="300" w:lineRule="exact"/>
              <w:jc w:val="left"/>
              <w:rPr>
                <w:rFonts w:ascii="CESI仿宋-GB2312" w:hAnsi="CESI仿宋-GB2312" w:eastAsia="CESI仿宋-GB2312" w:cs="CESI仿宋-GB2312"/>
                <w:snapToGrid w:val="0"/>
                <w:spacing w:val="-6"/>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0" w:hRule="exact"/>
          <w:jc w:val="center"/>
        </w:trPr>
        <w:tc>
          <w:tcPr>
            <w:tcW w:w="3016" w:type="dxa"/>
            <w:noWrap/>
            <w:vAlign w:val="center"/>
          </w:tcPr>
          <w:p>
            <w:pPr>
              <w:widowControl/>
              <w:adjustRightInd w:val="0"/>
              <w:snapToGrid w:val="0"/>
              <w:spacing w:line="300" w:lineRule="exact"/>
              <w:ind w:firstLine="198" w:firstLineChars="100"/>
              <w:rPr>
                <w:rFonts w:ascii="CESI仿宋-GB2312" w:hAnsi="CESI仿宋-GB2312" w:eastAsia="CESI仿宋-GB2312" w:cs="CESI仿宋-GB2312"/>
                <w:snapToGrid w:val="0"/>
                <w:spacing w:val="-6"/>
                <w:kern w:val="0"/>
                <w:szCs w:val="21"/>
              </w:rPr>
            </w:pPr>
            <w:r>
              <w:rPr>
                <w:rFonts w:hint="eastAsia" w:ascii="CESI仿宋-GB2312" w:hAnsi="CESI仿宋-GB2312" w:eastAsia="CESI仿宋-GB2312" w:cs="CESI仿宋-GB2312"/>
                <w:snapToGrid w:val="0"/>
                <w:spacing w:val="-6"/>
                <w:kern w:val="0"/>
                <w:szCs w:val="21"/>
              </w:rPr>
              <w:t>2、仪器仪表设备</w:t>
            </w:r>
          </w:p>
        </w:tc>
        <w:tc>
          <w:tcPr>
            <w:tcW w:w="1774" w:type="dxa"/>
            <w:noWrap/>
            <w:vAlign w:val="center"/>
          </w:tcPr>
          <w:p>
            <w:pPr>
              <w:widowControl/>
              <w:adjustRightInd w:val="0"/>
              <w:snapToGrid w:val="0"/>
              <w:spacing w:line="300" w:lineRule="exact"/>
              <w:jc w:val="center"/>
              <w:rPr>
                <w:rFonts w:ascii="CESI仿宋-GB2312" w:hAnsi="CESI仿宋-GB2312" w:eastAsia="CESI仿宋-GB2312" w:cs="CESI仿宋-GB2312"/>
                <w:snapToGrid w:val="0"/>
                <w:spacing w:val="-6"/>
                <w:kern w:val="0"/>
                <w:szCs w:val="21"/>
              </w:rPr>
            </w:pPr>
            <w:r>
              <w:rPr>
                <w:rFonts w:hint="eastAsia" w:ascii="CESI仿宋-GB2312" w:hAnsi="CESI仿宋-GB2312" w:eastAsia="CESI仿宋-GB2312" w:cs="CESI仿宋-GB2312"/>
                <w:snapToGrid w:val="0"/>
                <w:spacing w:val="-6"/>
                <w:kern w:val="0"/>
                <w:szCs w:val="21"/>
              </w:rPr>
              <w:t>10年</w:t>
            </w:r>
          </w:p>
        </w:tc>
        <w:tc>
          <w:tcPr>
            <w:tcW w:w="4527" w:type="dxa"/>
            <w:noWrap/>
            <w:vAlign w:val="center"/>
          </w:tcPr>
          <w:p>
            <w:pPr>
              <w:widowControl/>
              <w:adjustRightInd w:val="0"/>
              <w:snapToGrid w:val="0"/>
              <w:spacing w:line="300" w:lineRule="exact"/>
              <w:jc w:val="left"/>
              <w:rPr>
                <w:rFonts w:ascii="CESI仿宋-GB2312" w:hAnsi="CESI仿宋-GB2312" w:eastAsia="CESI仿宋-GB2312" w:cs="CESI仿宋-GB2312"/>
                <w:snapToGrid w:val="0"/>
                <w:spacing w:val="-6"/>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jc w:val="center"/>
        </w:trPr>
        <w:tc>
          <w:tcPr>
            <w:tcW w:w="3016" w:type="dxa"/>
            <w:noWrap/>
            <w:vAlign w:val="center"/>
          </w:tcPr>
          <w:p>
            <w:pPr>
              <w:widowControl/>
              <w:adjustRightInd w:val="0"/>
              <w:snapToGrid w:val="0"/>
              <w:spacing w:line="300" w:lineRule="exact"/>
              <w:rPr>
                <w:rFonts w:ascii="CESI仿宋-GB2312" w:hAnsi="CESI仿宋-GB2312" w:eastAsia="CESI仿宋-GB2312" w:cs="CESI仿宋-GB2312"/>
                <w:snapToGrid w:val="0"/>
                <w:spacing w:val="-6"/>
                <w:kern w:val="0"/>
                <w:szCs w:val="21"/>
              </w:rPr>
            </w:pPr>
            <w:r>
              <w:rPr>
                <w:rFonts w:hint="eastAsia" w:ascii="CESI仿宋-GB2312" w:hAnsi="CESI仿宋-GB2312" w:eastAsia="CESI仿宋-GB2312" w:cs="CESI仿宋-GB2312"/>
                <w:snapToGrid w:val="0"/>
                <w:spacing w:val="-6"/>
                <w:kern w:val="0"/>
                <w:szCs w:val="21"/>
              </w:rPr>
              <w:t xml:space="preserve">  3、专用仪器仪表</w:t>
            </w:r>
          </w:p>
        </w:tc>
        <w:tc>
          <w:tcPr>
            <w:tcW w:w="1774" w:type="dxa"/>
            <w:noWrap/>
            <w:vAlign w:val="center"/>
          </w:tcPr>
          <w:p>
            <w:pPr>
              <w:widowControl/>
              <w:adjustRightInd w:val="0"/>
              <w:snapToGrid w:val="0"/>
              <w:spacing w:line="300" w:lineRule="exact"/>
              <w:jc w:val="center"/>
              <w:rPr>
                <w:rFonts w:ascii="CESI仿宋-GB2312" w:hAnsi="CESI仿宋-GB2312" w:eastAsia="CESI仿宋-GB2312" w:cs="CESI仿宋-GB2312"/>
                <w:snapToGrid w:val="0"/>
                <w:spacing w:val="-6"/>
                <w:kern w:val="0"/>
                <w:szCs w:val="21"/>
              </w:rPr>
            </w:pPr>
            <w:r>
              <w:rPr>
                <w:rFonts w:hint="eastAsia" w:ascii="CESI仿宋-GB2312" w:hAnsi="CESI仿宋-GB2312" w:eastAsia="CESI仿宋-GB2312" w:cs="CESI仿宋-GB2312"/>
                <w:snapToGrid w:val="0"/>
                <w:spacing w:val="-6"/>
                <w:kern w:val="0"/>
                <w:szCs w:val="21"/>
              </w:rPr>
              <w:t>不低于5年</w:t>
            </w:r>
          </w:p>
        </w:tc>
        <w:tc>
          <w:tcPr>
            <w:tcW w:w="4527" w:type="dxa"/>
            <w:noWrap/>
            <w:vAlign w:val="center"/>
          </w:tcPr>
          <w:p>
            <w:pPr>
              <w:widowControl/>
              <w:adjustRightInd w:val="0"/>
              <w:snapToGrid w:val="0"/>
              <w:spacing w:line="300" w:lineRule="exact"/>
              <w:jc w:val="left"/>
              <w:rPr>
                <w:rFonts w:ascii="CESI仿宋-GB2312" w:hAnsi="CESI仿宋-GB2312" w:eastAsia="CESI仿宋-GB2312" w:cs="CESI仿宋-GB2312"/>
                <w:snapToGrid w:val="0"/>
                <w:spacing w:val="-6"/>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jc w:val="center"/>
        </w:trPr>
        <w:tc>
          <w:tcPr>
            <w:tcW w:w="3016" w:type="dxa"/>
            <w:noWrap/>
            <w:vAlign w:val="center"/>
          </w:tcPr>
          <w:p>
            <w:pPr>
              <w:widowControl/>
              <w:adjustRightInd w:val="0"/>
              <w:snapToGrid w:val="0"/>
              <w:spacing w:line="300" w:lineRule="exact"/>
              <w:rPr>
                <w:rFonts w:ascii="CESI仿宋-GB2312" w:hAnsi="CESI仿宋-GB2312" w:eastAsia="CESI仿宋-GB2312" w:cs="CESI仿宋-GB2312"/>
                <w:snapToGrid w:val="0"/>
                <w:spacing w:val="-6"/>
                <w:kern w:val="0"/>
                <w:szCs w:val="21"/>
              </w:rPr>
            </w:pPr>
            <w:r>
              <w:rPr>
                <w:rFonts w:hint="eastAsia" w:ascii="CESI仿宋-GB2312" w:hAnsi="CESI仿宋-GB2312" w:eastAsia="CESI仿宋-GB2312" w:cs="CESI仿宋-GB2312"/>
                <w:snapToGrid w:val="0"/>
                <w:spacing w:val="-6"/>
                <w:kern w:val="0"/>
                <w:szCs w:val="21"/>
              </w:rPr>
              <w:t xml:space="preserve">  4、文体、娱乐设备</w:t>
            </w:r>
          </w:p>
        </w:tc>
        <w:tc>
          <w:tcPr>
            <w:tcW w:w="1774" w:type="dxa"/>
            <w:noWrap/>
            <w:vAlign w:val="center"/>
          </w:tcPr>
          <w:p>
            <w:pPr>
              <w:widowControl/>
              <w:adjustRightInd w:val="0"/>
              <w:snapToGrid w:val="0"/>
              <w:spacing w:line="300" w:lineRule="exact"/>
              <w:jc w:val="center"/>
              <w:rPr>
                <w:rFonts w:ascii="CESI仿宋-GB2312" w:hAnsi="CESI仿宋-GB2312" w:eastAsia="CESI仿宋-GB2312" w:cs="CESI仿宋-GB2312"/>
                <w:snapToGrid w:val="0"/>
                <w:spacing w:val="-6"/>
                <w:kern w:val="0"/>
                <w:szCs w:val="21"/>
              </w:rPr>
            </w:pPr>
            <w:r>
              <w:rPr>
                <w:rFonts w:hint="eastAsia" w:ascii="CESI仿宋-GB2312" w:hAnsi="CESI仿宋-GB2312" w:eastAsia="CESI仿宋-GB2312" w:cs="CESI仿宋-GB2312"/>
                <w:snapToGrid w:val="0"/>
                <w:spacing w:val="-6"/>
                <w:kern w:val="0"/>
                <w:szCs w:val="21"/>
              </w:rPr>
              <w:t>不低于5年</w:t>
            </w:r>
          </w:p>
        </w:tc>
        <w:tc>
          <w:tcPr>
            <w:tcW w:w="4527" w:type="dxa"/>
            <w:noWrap/>
            <w:vAlign w:val="center"/>
          </w:tcPr>
          <w:p>
            <w:pPr>
              <w:widowControl/>
              <w:adjustRightInd w:val="0"/>
              <w:snapToGrid w:val="0"/>
              <w:spacing w:line="300" w:lineRule="exact"/>
              <w:jc w:val="left"/>
              <w:rPr>
                <w:rFonts w:ascii="CESI仿宋-GB2312" w:hAnsi="CESI仿宋-GB2312" w:eastAsia="CESI仿宋-GB2312" w:cs="CESI仿宋-GB2312"/>
                <w:snapToGrid w:val="0"/>
                <w:spacing w:val="-6"/>
                <w:kern w:val="0"/>
                <w:szCs w:val="21"/>
              </w:rPr>
            </w:pPr>
          </w:p>
          <w:p>
            <w:pPr>
              <w:widowControl/>
              <w:adjustRightInd w:val="0"/>
              <w:snapToGrid w:val="0"/>
              <w:spacing w:line="300" w:lineRule="exact"/>
              <w:jc w:val="left"/>
              <w:rPr>
                <w:rFonts w:ascii="CESI仿宋-GB2312" w:hAnsi="CESI仿宋-GB2312" w:eastAsia="CESI仿宋-GB2312" w:cs="CESI仿宋-GB2312"/>
                <w:snapToGrid w:val="0"/>
                <w:spacing w:val="-6"/>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jc w:val="center"/>
        </w:trPr>
        <w:tc>
          <w:tcPr>
            <w:tcW w:w="3016" w:type="dxa"/>
            <w:noWrap/>
            <w:vAlign w:val="center"/>
          </w:tcPr>
          <w:p>
            <w:pPr>
              <w:widowControl/>
              <w:adjustRightInd w:val="0"/>
              <w:snapToGrid w:val="0"/>
              <w:spacing w:line="300" w:lineRule="exact"/>
              <w:rPr>
                <w:rFonts w:ascii="CESI仿宋-GB2312" w:hAnsi="CESI仿宋-GB2312" w:eastAsia="CESI仿宋-GB2312" w:cs="CESI仿宋-GB2312"/>
                <w:snapToGrid w:val="0"/>
                <w:spacing w:val="-6"/>
                <w:kern w:val="0"/>
                <w:szCs w:val="21"/>
              </w:rPr>
            </w:pPr>
            <w:r>
              <w:rPr>
                <w:rFonts w:hint="eastAsia" w:ascii="CESI仿宋-GB2312" w:hAnsi="CESI仿宋-GB2312" w:eastAsia="CESI仿宋-GB2312" w:cs="CESI仿宋-GB2312"/>
                <w:snapToGrid w:val="0"/>
                <w:spacing w:val="-6"/>
                <w:kern w:val="0"/>
                <w:szCs w:val="21"/>
              </w:rPr>
              <w:t xml:space="preserve">  5、公安专用设备</w:t>
            </w:r>
          </w:p>
        </w:tc>
        <w:tc>
          <w:tcPr>
            <w:tcW w:w="1774" w:type="dxa"/>
            <w:noWrap/>
            <w:vAlign w:val="center"/>
          </w:tcPr>
          <w:p>
            <w:pPr>
              <w:widowControl/>
              <w:adjustRightInd w:val="0"/>
              <w:snapToGrid w:val="0"/>
              <w:spacing w:line="300" w:lineRule="exact"/>
              <w:jc w:val="center"/>
              <w:rPr>
                <w:rFonts w:ascii="CESI仿宋-GB2312" w:hAnsi="CESI仿宋-GB2312" w:eastAsia="CESI仿宋-GB2312" w:cs="CESI仿宋-GB2312"/>
                <w:snapToGrid w:val="0"/>
                <w:spacing w:val="-6"/>
                <w:kern w:val="0"/>
                <w:szCs w:val="21"/>
              </w:rPr>
            </w:pPr>
            <w:r>
              <w:rPr>
                <w:rFonts w:hint="eastAsia" w:ascii="CESI仿宋-GB2312" w:hAnsi="CESI仿宋-GB2312" w:eastAsia="CESI仿宋-GB2312" w:cs="CESI仿宋-GB2312"/>
                <w:snapToGrid w:val="0"/>
                <w:spacing w:val="-6"/>
                <w:kern w:val="0"/>
                <w:szCs w:val="21"/>
              </w:rPr>
              <w:t>不低于5年</w:t>
            </w:r>
          </w:p>
        </w:tc>
        <w:tc>
          <w:tcPr>
            <w:tcW w:w="4527" w:type="dxa"/>
            <w:noWrap/>
            <w:vAlign w:val="center"/>
          </w:tcPr>
          <w:p>
            <w:pPr>
              <w:widowControl/>
              <w:adjustRightInd w:val="0"/>
              <w:snapToGrid w:val="0"/>
              <w:spacing w:line="300" w:lineRule="exact"/>
              <w:jc w:val="left"/>
              <w:rPr>
                <w:rFonts w:ascii="CESI仿宋-GB2312" w:hAnsi="CESI仿宋-GB2312" w:eastAsia="CESI仿宋-GB2312" w:cs="CESI仿宋-GB2312"/>
                <w:snapToGrid w:val="0"/>
                <w:spacing w:val="-6"/>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jc w:val="center"/>
        </w:trPr>
        <w:tc>
          <w:tcPr>
            <w:tcW w:w="3016" w:type="dxa"/>
            <w:noWrap/>
            <w:vAlign w:val="center"/>
          </w:tcPr>
          <w:p>
            <w:pPr>
              <w:widowControl/>
              <w:adjustRightInd w:val="0"/>
              <w:snapToGrid w:val="0"/>
              <w:spacing w:line="300" w:lineRule="exact"/>
              <w:rPr>
                <w:rFonts w:ascii="CESI仿宋-GB2312" w:hAnsi="CESI仿宋-GB2312" w:eastAsia="CESI仿宋-GB2312" w:cs="CESI仿宋-GB2312"/>
                <w:snapToGrid w:val="0"/>
                <w:spacing w:val="-6"/>
                <w:kern w:val="0"/>
                <w:szCs w:val="21"/>
              </w:rPr>
            </w:pPr>
            <w:r>
              <w:rPr>
                <w:rFonts w:hint="eastAsia" w:ascii="CESI仿宋-GB2312" w:hAnsi="CESI仿宋-GB2312" w:eastAsia="CESI仿宋-GB2312" w:cs="CESI仿宋-GB2312"/>
                <w:snapToGrid w:val="0"/>
                <w:spacing w:val="-6"/>
                <w:kern w:val="0"/>
                <w:szCs w:val="21"/>
              </w:rPr>
              <w:t xml:space="preserve">  6、其他专用设备</w:t>
            </w:r>
          </w:p>
        </w:tc>
        <w:tc>
          <w:tcPr>
            <w:tcW w:w="1774" w:type="dxa"/>
            <w:noWrap/>
            <w:vAlign w:val="center"/>
          </w:tcPr>
          <w:p>
            <w:pPr>
              <w:widowControl/>
              <w:adjustRightInd w:val="0"/>
              <w:snapToGrid w:val="0"/>
              <w:spacing w:line="300" w:lineRule="exact"/>
              <w:jc w:val="center"/>
              <w:rPr>
                <w:rFonts w:ascii="CESI仿宋-GB2312" w:hAnsi="CESI仿宋-GB2312" w:eastAsia="CESI仿宋-GB2312" w:cs="CESI仿宋-GB2312"/>
                <w:snapToGrid w:val="0"/>
                <w:spacing w:val="-6"/>
                <w:kern w:val="0"/>
                <w:szCs w:val="21"/>
              </w:rPr>
            </w:pPr>
            <w:r>
              <w:rPr>
                <w:rFonts w:hint="eastAsia" w:ascii="CESI仿宋-GB2312" w:hAnsi="CESI仿宋-GB2312" w:eastAsia="CESI仿宋-GB2312" w:cs="CESI仿宋-GB2312"/>
                <w:snapToGrid w:val="0"/>
                <w:spacing w:val="-6"/>
                <w:kern w:val="0"/>
                <w:szCs w:val="21"/>
              </w:rPr>
              <w:t>不低于3年</w:t>
            </w:r>
          </w:p>
        </w:tc>
        <w:tc>
          <w:tcPr>
            <w:tcW w:w="4527" w:type="dxa"/>
            <w:noWrap/>
            <w:vAlign w:val="center"/>
          </w:tcPr>
          <w:p>
            <w:pPr>
              <w:widowControl/>
              <w:adjustRightInd w:val="0"/>
              <w:snapToGrid w:val="0"/>
              <w:spacing w:line="300" w:lineRule="exact"/>
              <w:jc w:val="left"/>
              <w:rPr>
                <w:rFonts w:ascii="CESI仿宋-GB2312" w:hAnsi="CESI仿宋-GB2312" w:eastAsia="CESI仿宋-GB2312" w:cs="CESI仿宋-GB2312"/>
                <w:snapToGrid w:val="0"/>
                <w:spacing w:val="-6"/>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jc w:val="center"/>
        </w:trPr>
        <w:tc>
          <w:tcPr>
            <w:tcW w:w="3016" w:type="dxa"/>
            <w:noWrap/>
            <w:vAlign w:val="center"/>
          </w:tcPr>
          <w:p>
            <w:pPr>
              <w:widowControl/>
              <w:adjustRightInd w:val="0"/>
              <w:snapToGrid w:val="0"/>
              <w:spacing w:line="300" w:lineRule="exact"/>
              <w:rPr>
                <w:rFonts w:ascii="CESI仿宋-GB2312" w:hAnsi="CESI仿宋-GB2312" w:eastAsia="CESI仿宋-GB2312" w:cs="CESI仿宋-GB2312"/>
                <w:snapToGrid w:val="0"/>
                <w:spacing w:val="-6"/>
                <w:kern w:val="0"/>
                <w:szCs w:val="21"/>
              </w:rPr>
            </w:pPr>
          </w:p>
        </w:tc>
        <w:tc>
          <w:tcPr>
            <w:tcW w:w="1774" w:type="dxa"/>
            <w:noWrap/>
            <w:vAlign w:val="center"/>
          </w:tcPr>
          <w:p>
            <w:pPr>
              <w:widowControl/>
              <w:adjustRightInd w:val="0"/>
              <w:snapToGrid w:val="0"/>
              <w:spacing w:line="300" w:lineRule="exact"/>
              <w:rPr>
                <w:rFonts w:ascii="CESI仿宋-GB2312" w:hAnsi="CESI仿宋-GB2312" w:eastAsia="CESI仿宋-GB2312" w:cs="CESI仿宋-GB2312"/>
                <w:snapToGrid w:val="0"/>
                <w:spacing w:val="-6"/>
                <w:kern w:val="0"/>
                <w:szCs w:val="21"/>
              </w:rPr>
            </w:pPr>
          </w:p>
        </w:tc>
        <w:tc>
          <w:tcPr>
            <w:tcW w:w="4527" w:type="dxa"/>
            <w:noWrap/>
            <w:vAlign w:val="center"/>
          </w:tcPr>
          <w:p>
            <w:pPr>
              <w:widowControl/>
              <w:adjustRightInd w:val="0"/>
              <w:snapToGrid w:val="0"/>
              <w:spacing w:line="300" w:lineRule="exact"/>
              <w:jc w:val="left"/>
              <w:rPr>
                <w:rFonts w:ascii="CESI仿宋-GB2312" w:hAnsi="CESI仿宋-GB2312" w:eastAsia="CESI仿宋-GB2312" w:cs="CESI仿宋-GB2312"/>
                <w:snapToGrid w:val="0"/>
                <w:spacing w:val="-6"/>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jc w:val="center"/>
        </w:trPr>
        <w:tc>
          <w:tcPr>
            <w:tcW w:w="3016" w:type="dxa"/>
            <w:noWrap/>
            <w:vAlign w:val="center"/>
          </w:tcPr>
          <w:p>
            <w:pPr>
              <w:widowControl/>
              <w:adjustRightInd w:val="0"/>
              <w:snapToGrid w:val="0"/>
              <w:spacing w:line="300" w:lineRule="exact"/>
              <w:rPr>
                <w:rFonts w:ascii="CESI仿宋-GB2312" w:hAnsi="CESI仿宋-GB2312" w:eastAsia="CESI仿宋-GB2312" w:cs="CESI仿宋-GB2312"/>
                <w:snapToGrid w:val="0"/>
                <w:spacing w:val="-6"/>
                <w:kern w:val="0"/>
                <w:szCs w:val="21"/>
              </w:rPr>
            </w:pPr>
            <w:r>
              <w:rPr>
                <w:rFonts w:hint="eastAsia" w:ascii="CESI仿宋-GB2312" w:hAnsi="CESI仿宋-GB2312" w:eastAsia="CESI仿宋-GB2312" w:cs="CESI仿宋-GB2312"/>
                <w:b/>
                <w:bCs/>
                <w:snapToGrid w:val="0"/>
                <w:spacing w:val="-6"/>
                <w:kern w:val="0"/>
                <w:szCs w:val="21"/>
              </w:rPr>
              <w:t>四、家具用具及装具</w:t>
            </w:r>
          </w:p>
        </w:tc>
        <w:tc>
          <w:tcPr>
            <w:tcW w:w="1774" w:type="dxa"/>
            <w:noWrap/>
            <w:vAlign w:val="center"/>
          </w:tcPr>
          <w:p>
            <w:pPr>
              <w:widowControl/>
              <w:adjustRightInd w:val="0"/>
              <w:snapToGrid w:val="0"/>
              <w:spacing w:line="300" w:lineRule="exact"/>
              <w:jc w:val="center"/>
              <w:rPr>
                <w:rFonts w:ascii="CESI仿宋-GB2312" w:hAnsi="CESI仿宋-GB2312" w:eastAsia="CESI仿宋-GB2312" w:cs="CESI仿宋-GB2312"/>
                <w:snapToGrid w:val="0"/>
                <w:spacing w:val="-6"/>
                <w:kern w:val="0"/>
                <w:szCs w:val="21"/>
              </w:rPr>
            </w:pPr>
          </w:p>
        </w:tc>
        <w:tc>
          <w:tcPr>
            <w:tcW w:w="4527" w:type="dxa"/>
            <w:noWrap/>
            <w:vAlign w:val="center"/>
          </w:tcPr>
          <w:p>
            <w:pPr>
              <w:widowControl/>
              <w:adjustRightInd w:val="0"/>
              <w:snapToGrid w:val="0"/>
              <w:spacing w:line="300" w:lineRule="exact"/>
              <w:jc w:val="left"/>
              <w:rPr>
                <w:rFonts w:ascii="CESI仿宋-GB2312" w:hAnsi="CESI仿宋-GB2312" w:eastAsia="CESI仿宋-GB2312" w:cs="CESI仿宋-GB2312"/>
                <w:snapToGrid w:val="0"/>
                <w:spacing w:val="-6"/>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jc w:val="center"/>
        </w:trPr>
        <w:tc>
          <w:tcPr>
            <w:tcW w:w="3016" w:type="dxa"/>
            <w:noWrap/>
            <w:vAlign w:val="center"/>
          </w:tcPr>
          <w:p>
            <w:pPr>
              <w:widowControl/>
              <w:adjustRightInd w:val="0"/>
              <w:snapToGrid w:val="0"/>
              <w:spacing w:line="300" w:lineRule="exact"/>
              <w:rPr>
                <w:rFonts w:ascii="CESI仿宋-GB2312" w:hAnsi="CESI仿宋-GB2312" w:eastAsia="CESI仿宋-GB2312" w:cs="CESI仿宋-GB2312"/>
                <w:snapToGrid w:val="0"/>
                <w:spacing w:val="-6"/>
                <w:kern w:val="0"/>
                <w:szCs w:val="21"/>
              </w:rPr>
            </w:pPr>
            <w:r>
              <w:rPr>
                <w:rFonts w:hint="eastAsia" w:ascii="CESI仿宋-GB2312" w:hAnsi="CESI仿宋-GB2312" w:eastAsia="CESI仿宋-GB2312" w:cs="CESI仿宋-GB2312"/>
                <w:snapToGrid w:val="0"/>
                <w:spacing w:val="-6"/>
                <w:kern w:val="0"/>
                <w:szCs w:val="21"/>
              </w:rPr>
              <w:t xml:space="preserve">  1、家具、装具</w:t>
            </w:r>
          </w:p>
        </w:tc>
        <w:tc>
          <w:tcPr>
            <w:tcW w:w="1774" w:type="dxa"/>
            <w:noWrap/>
            <w:vAlign w:val="center"/>
          </w:tcPr>
          <w:p>
            <w:pPr>
              <w:widowControl/>
              <w:adjustRightInd w:val="0"/>
              <w:snapToGrid w:val="0"/>
              <w:spacing w:line="300" w:lineRule="exact"/>
              <w:jc w:val="center"/>
              <w:rPr>
                <w:rFonts w:ascii="CESI仿宋-GB2312" w:hAnsi="CESI仿宋-GB2312" w:eastAsia="CESI仿宋-GB2312" w:cs="CESI仿宋-GB2312"/>
                <w:snapToGrid w:val="0"/>
                <w:spacing w:val="-6"/>
                <w:kern w:val="0"/>
                <w:szCs w:val="21"/>
              </w:rPr>
            </w:pPr>
            <w:r>
              <w:rPr>
                <w:rFonts w:hint="eastAsia" w:ascii="CESI仿宋-GB2312" w:hAnsi="CESI仿宋-GB2312" w:eastAsia="CESI仿宋-GB2312" w:cs="CESI仿宋-GB2312"/>
                <w:snapToGrid w:val="0"/>
                <w:spacing w:val="-6"/>
                <w:kern w:val="0"/>
                <w:szCs w:val="21"/>
              </w:rPr>
              <w:t>不低于15年</w:t>
            </w:r>
          </w:p>
        </w:tc>
        <w:tc>
          <w:tcPr>
            <w:tcW w:w="4527" w:type="dxa"/>
            <w:noWrap/>
            <w:vAlign w:val="center"/>
          </w:tcPr>
          <w:p>
            <w:pPr>
              <w:widowControl/>
              <w:adjustRightInd w:val="0"/>
              <w:snapToGrid w:val="0"/>
              <w:spacing w:line="300" w:lineRule="exact"/>
              <w:jc w:val="left"/>
              <w:rPr>
                <w:rFonts w:ascii="CESI仿宋-GB2312" w:hAnsi="CESI仿宋-GB2312" w:eastAsia="CESI仿宋-GB2312" w:cs="CESI仿宋-GB2312"/>
                <w:snapToGrid w:val="0"/>
                <w:spacing w:val="-6"/>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jc w:val="center"/>
        </w:trPr>
        <w:tc>
          <w:tcPr>
            <w:tcW w:w="3016" w:type="dxa"/>
            <w:noWrap/>
            <w:vAlign w:val="center"/>
          </w:tcPr>
          <w:p>
            <w:pPr>
              <w:widowControl/>
              <w:adjustRightInd w:val="0"/>
              <w:snapToGrid w:val="0"/>
              <w:spacing w:line="300" w:lineRule="exact"/>
              <w:rPr>
                <w:rFonts w:ascii="CESI仿宋-GB2312" w:hAnsi="CESI仿宋-GB2312" w:eastAsia="CESI仿宋-GB2312" w:cs="CESI仿宋-GB2312"/>
                <w:snapToGrid w:val="0"/>
                <w:spacing w:val="-6"/>
                <w:kern w:val="0"/>
                <w:szCs w:val="21"/>
              </w:rPr>
            </w:pPr>
            <w:r>
              <w:rPr>
                <w:rFonts w:hint="eastAsia" w:ascii="CESI仿宋-GB2312" w:hAnsi="CESI仿宋-GB2312" w:eastAsia="CESI仿宋-GB2312" w:cs="CESI仿宋-GB2312"/>
                <w:b/>
                <w:bCs/>
                <w:snapToGrid w:val="0"/>
                <w:spacing w:val="-6"/>
                <w:kern w:val="0"/>
                <w:szCs w:val="21"/>
              </w:rPr>
              <w:t>六、其他固定资产</w:t>
            </w:r>
          </w:p>
        </w:tc>
        <w:tc>
          <w:tcPr>
            <w:tcW w:w="1774" w:type="dxa"/>
            <w:noWrap/>
            <w:vAlign w:val="center"/>
          </w:tcPr>
          <w:p>
            <w:pPr>
              <w:widowControl/>
              <w:adjustRightInd w:val="0"/>
              <w:snapToGrid w:val="0"/>
              <w:spacing w:line="300" w:lineRule="exact"/>
              <w:jc w:val="center"/>
              <w:rPr>
                <w:rFonts w:ascii="CESI仿宋-GB2312" w:hAnsi="CESI仿宋-GB2312" w:eastAsia="CESI仿宋-GB2312" w:cs="CESI仿宋-GB2312"/>
                <w:snapToGrid w:val="0"/>
                <w:spacing w:val="-6"/>
                <w:kern w:val="0"/>
                <w:szCs w:val="21"/>
              </w:rPr>
            </w:pPr>
            <w:r>
              <w:rPr>
                <w:rFonts w:hint="eastAsia" w:ascii="CESI仿宋-GB2312" w:hAnsi="CESI仿宋-GB2312" w:eastAsia="CESI仿宋-GB2312" w:cs="CESI仿宋-GB2312"/>
                <w:snapToGrid w:val="0"/>
                <w:spacing w:val="-6"/>
                <w:kern w:val="0"/>
                <w:szCs w:val="21"/>
              </w:rPr>
              <w:t>不低于10年</w:t>
            </w:r>
          </w:p>
        </w:tc>
        <w:tc>
          <w:tcPr>
            <w:tcW w:w="4527" w:type="dxa"/>
            <w:noWrap/>
            <w:vAlign w:val="center"/>
          </w:tcPr>
          <w:p>
            <w:pPr>
              <w:widowControl/>
              <w:adjustRightInd w:val="0"/>
              <w:snapToGrid w:val="0"/>
              <w:spacing w:line="300" w:lineRule="exact"/>
              <w:jc w:val="left"/>
              <w:rPr>
                <w:rFonts w:ascii="CESI仿宋-GB2312" w:hAnsi="CESI仿宋-GB2312" w:eastAsia="CESI仿宋-GB2312" w:cs="CESI仿宋-GB2312"/>
                <w:snapToGrid w:val="0"/>
                <w:spacing w:val="-6"/>
                <w:kern w:val="0"/>
                <w:szCs w:val="21"/>
              </w:rPr>
            </w:pPr>
          </w:p>
        </w:tc>
      </w:tr>
    </w:tbl>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方正舒体"/>
    <w:panose1 w:val="02000000000000000000"/>
    <w:charset w:val="86"/>
    <w:family w:val="auto"/>
    <w:pitch w:val="default"/>
    <w:sig w:usb0="A00002BF" w:usb1="184F6CFA" w:usb2="00000012"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altName w:val="微软雅黑"/>
    <w:panose1 w:val="02000000000000000000"/>
    <w:charset w:val="86"/>
    <w:family w:val="auto"/>
    <w:pitch w:val="default"/>
    <w:sig w:usb0="00000001" w:usb1="08000000" w:usb2="00000000" w:usb3="00000000" w:csb0="00040000" w:csb1="00000000"/>
  </w:font>
  <w:font w:name="方正黑体_GBK">
    <w:altName w:val="微软雅黑"/>
    <w:panose1 w:val="02000000000000000000"/>
    <w:charset w:val="86"/>
    <w:family w:val="auto"/>
    <w:pitch w:val="default"/>
    <w:sig w:usb0="00000001" w:usb1="08000000" w:usb2="00000000" w:usb3="00000000" w:csb0="00040000" w:csb1="00000000"/>
  </w:font>
  <w:font w:name="方正小标宋_GBK">
    <w:altName w:val="微软雅黑"/>
    <w:panose1 w:val="02000000000000000000"/>
    <w:charset w:val="86"/>
    <w:family w:val="auto"/>
    <w:pitch w:val="default"/>
    <w:sig w:usb0="00000001" w:usb1="08000000" w:usb2="00000000" w:usb3="00000000" w:csb0="00040000" w:csb1="00000000"/>
  </w:font>
  <w:font w:name="CESI仿宋-GB2312">
    <w:altName w:val="仿宋"/>
    <w:panose1 w:val="02000500000000000000"/>
    <w:charset w:val="86"/>
    <w:family w:val="auto"/>
    <w:pitch w:val="default"/>
    <w:sig w:usb0="800002AF" w:usb1="084F6CF8" w:usb2="00000010" w:usb3="00000000" w:csb0="0004000F" w:csb1="0000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DFC011"/>
    <w:multiLevelType w:val="singleLevel"/>
    <w:tmpl w:val="CFDFC011"/>
    <w:lvl w:ilvl="0" w:tentative="0">
      <w:start w:val="4"/>
      <w:numFmt w:val="decimal"/>
      <w:suff w:val="nothing"/>
      <w:lvlText w:val="%1、"/>
      <w:lvlJc w:val="left"/>
    </w:lvl>
  </w:abstractNum>
  <w:abstractNum w:abstractNumId="1">
    <w:nsid w:val="F8FF053F"/>
    <w:multiLevelType w:val="singleLevel"/>
    <w:tmpl w:val="F8FF053F"/>
    <w:lvl w:ilvl="0" w:tentative="0">
      <w:start w:val="1"/>
      <w:numFmt w:val="decimal"/>
      <w:suff w:val="nothing"/>
      <w:lvlText w:val="%1、"/>
      <w:lvlJc w:val="left"/>
    </w:lvl>
  </w:abstractNum>
  <w:abstractNum w:abstractNumId="2">
    <w:nsid w:val="FD3FAA93"/>
    <w:multiLevelType w:val="singleLevel"/>
    <w:tmpl w:val="FD3FAA93"/>
    <w:lvl w:ilvl="0" w:tentative="0">
      <w:start w:val="1"/>
      <w:numFmt w:val="chineseCounting"/>
      <w:suff w:val="nothing"/>
      <w:lvlText w:val="（%1）"/>
      <w:lvlJc w:val="left"/>
      <w:rPr>
        <w:rFonts w:hint="eastAsia"/>
      </w:rPr>
    </w:lvl>
  </w:abstractNum>
  <w:abstractNum w:abstractNumId="3">
    <w:nsid w:val="75D73CA0"/>
    <w:multiLevelType w:val="singleLevel"/>
    <w:tmpl w:val="75D73CA0"/>
    <w:lvl w:ilvl="0" w:tentative="0">
      <w:start w:val="2"/>
      <w:numFmt w:val="chineseCounting"/>
      <w:suff w:val="nothing"/>
      <w:lvlText w:val="（%1）"/>
      <w:lvlJc w:val="left"/>
      <w:rPr>
        <w:rFonts w:hint="eastAsia"/>
      </w:rPr>
    </w:lvl>
  </w:abstractNum>
  <w:abstractNum w:abstractNumId="4">
    <w:nsid w:val="7FDBD7A6"/>
    <w:multiLevelType w:val="singleLevel"/>
    <w:tmpl w:val="7FDBD7A6"/>
    <w:lvl w:ilvl="0" w:tentative="0">
      <w:start w:val="1"/>
      <w:numFmt w:val="chineseCounting"/>
      <w:suff w:val="nothing"/>
      <w:lvlText w:val="（%1）"/>
      <w:lvlJc w:val="left"/>
      <w:rPr>
        <w:rFonts w:hint="eastAsia"/>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B7BB5359"/>
    <w:rsid w:val="428541C1"/>
    <w:rsid w:val="B7BB535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Style w:val="6"/>
      <w:tblCellMar>
        <w:top w:w="0" w:type="dxa"/>
        <w:left w:w="108" w:type="dxa"/>
        <w:bottom w:w="0" w:type="dxa"/>
        <w:right w:w="108" w:type="dxa"/>
      </w:tblCellMar>
    </w:tblPr>
  </w:style>
  <w:style w:type="paragraph" w:customStyle="1" w:styleId="2">
    <w:name w:val="样式 样式 样式 四号 左侧:  1.53 厘米 + 首行缩进:  2 字符 + 居中 左侧:  2 字符 首行缩进:  2..."/>
    <w:basedOn w:val="3"/>
    <w:qFormat/>
    <w:uiPriority w:val="99"/>
    <w:pPr>
      <w:jc w:val="center"/>
    </w:pPr>
  </w:style>
  <w:style w:type="paragraph" w:customStyle="1" w:styleId="3">
    <w:name w:val="样式 样式 四号 左侧:  1.53 厘米 + 首行缩进:  2 字符"/>
    <w:basedOn w:val="4"/>
    <w:qFormat/>
    <w:uiPriority w:val="99"/>
    <w:pPr>
      <w:ind w:left="200" w:leftChars="200"/>
    </w:pPr>
  </w:style>
  <w:style w:type="paragraph" w:customStyle="1" w:styleId="4">
    <w:name w:val="样式 四号 左侧:  1.53 厘米"/>
    <w:basedOn w:val="1"/>
    <w:qFormat/>
    <w:uiPriority w:val="99"/>
    <w:pPr>
      <w:adjustRightInd w:val="0"/>
    </w:pPr>
    <w:rPr>
      <w:rFonts w:ascii="Times New Roman" w:hAnsi="Times New Roman" w:eastAsia="宋体" w:cs="Times New Roman"/>
      <w:w w:val="90"/>
      <w:sz w:val="28"/>
      <w:szCs w:val="28"/>
    </w:rPr>
  </w:style>
  <w:style w:type="paragraph" w:styleId="5">
    <w:name w:val="Body Text"/>
    <w:basedOn w:val="1"/>
    <w:qFormat/>
    <w:uiPriority w:val="0"/>
    <w:pPr>
      <w:jc w:val="center"/>
    </w:pPr>
    <w:rPr>
      <w:rFonts w:ascii="Times New Roman" w:hAnsi="Times New Roman" w:eastAsia="黑体" w:cs="Times New Roman"/>
      <w:sz w:val="32"/>
      <w:szCs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2023-04-04T14:55:00Z</dcterms:created>
  <dc:creator>uos</dc:creator>
  <cp:lastModifiedBy>Wangyf</cp:lastModifiedBy>
  <dcterms:modified xsi:type="dcterms:W3CDTF">2023-04-04T08:20:48Z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